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正大天晴药业集团股份有限公司</w:t>
      </w:r>
    </w:p>
    <w:p>
      <w:pPr>
        <w:spacing w:line="360" w:lineRule="auto"/>
        <w:jc w:val="center"/>
        <w:rPr>
          <w:rFonts w:ascii="黑体" w:hAnsi="黑体" w:eastAsia="黑体"/>
          <w:b/>
          <w:sz w:val="36"/>
          <w:szCs w:val="36"/>
        </w:rPr>
      </w:pPr>
      <w:r>
        <w:rPr>
          <w:rFonts w:hint="eastAsia" w:ascii="黑体" w:hAnsi="黑体" w:eastAsia="黑体"/>
          <w:b/>
          <w:sz w:val="36"/>
          <w:szCs w:val="36"/>
        </w:rPr>
        <w:t>20</w:t>
      </w:r>
      <w:r>
        <w:rPr>
          <w:rFonts w:hint="eastAsia" w:ascii="黑体" w:hAnsi="黑体" w:eastAsia="黑体"/>
          <w:b/>
          <w:sz w:val="36"/>
          <w:szCs w:val="36"/>
          <w:lang w:val="en-US" w:eastAsia="zh-CN"/>
        </w:rPr>
        <w:t>25</w:t>
      </w:r>
      <w:r>
        <w:rPr>
          <w:rFonts w:hint="eastAsia" w:ascii="黑体" w:hAnsi="黑体" w:eastAsia="黑体"/>
          <w:b/>
          <w:sz w:val="36"/>
          <w:szCs w:val="36"/>
        </w:rPr>
        <w:t>届校园招聘简章</w:t>
      </w:r>
      <w:r>
        <w:rPr>
          <w:rFonts w:ascii="黑体" w:hAnsi="黑体" w:eastAsia="黑体"/>
          <w:b/>
          <w:sz w:val="36"/>
          <w:szCs w:val="36"/>
        </w:rPr>
        <w:tab/>
      </w:r>
    </w:p>
    <w:p>
      <w:pPr>
        <w:rPr>
          <w:rFonts w:ascii="黑体" w:hAnsi="黑体" w:eastAsia="黑体"/>
          <w:b/>
          <w:sz w:val="28"/>
          <w:szCs w:val="28"/>
        </w:rPr>
      </w:pPr>
      <w:r>
        <w:rPr>
          <w:rFonts w:hint="eastAsia" w:ascii="黑体" w:hAnsi="黑体" w:eastAsia="黑体"/>
          <w:b/>
          <w:sz w:val="28"/>
          <w:szCs w:val="28"/>
        </w:rPr>
        <w:t>一、企业简介</w:t>
      </w:r>
    </w:p>
    <w:p>
      <w:pPr>
        <w:pStyle w:val="6"/>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正大天晴药业集团是一家从事医药创新和高品质药品的研发、生产与销售的创新型医药集团，为香港上市企业中国生物制药（01177.HK）核心企业，致力于为患者提供更佳的健康解决方案和优质可负担的医药资源，是国内知名的抗肿瘤、肝病药物研发和生产基地，为国家重点高新技术企业、国家火炬计划连云港新医药产业基地重点骨干企业，位列2023年度中国医药工业百强企业榜第12位，为20</w:t>
      </w:r>
      <w:bookmarkStart w:id="1" w:name="_GoBack"/>
      <w:bookmarkEnd w:id="1"/>
      <w:r>
        <w:rPr>
          <w:rFonts w:hint="eastAsia" w:ascii="仿宋" w:hAnsi="仿宋" w:eastAsia="仿宋"/>
          <w:sz w:val="28"/>
          <w:szCs w:val="28"/>
        </w:rPr>
        <w:t>24年中国医药研发产品线最佳工业企业（由中国医药工业信息中心评选发布）。</w:t>
      </w:r>
    </w:p>
    <w:p>
      <w:pPr>
        <w:pStyle w:val="6"/>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正大天晴始终把科技创新作为企业可持续发展的支撑力量，是国内创新药物研究投入较多的药企之一，2023年研发投入占销售收入的17%。正大天晴以研究院为创新载体，“国家企业技术中心”、“国家级博士后科研工作站”、“江苏省新型肝病药物工程技术研究中心”、“江苏省抗病毒靶向药物研究重点实验室”等高层次研发平台相继建立，自主创新能力不断增强。目前，公司在研项目148项，其中创新药80项，累计有效申请及专利3080项，拥有有效授权专利1137项，形成了“上市一代、储备一代、研发一代”的良性格局。</w:t>
      </w:r>
    </w:p>
    <w:p>
      <w:pPr>
        <w:pStyle w:val="6"/>
        <w:spacing w:before="0" w:beforeAutospacing="0" w:after="0" w:afterAutospacing="0"/>
        <w:ind w:firstLine="560" w:firstLineChars="200"/>
        <w:rPr>
          <w:rFonts w:hint="eastAsia" w:ascii="仿宋" w:hAnsi="仿宋" w:eastAsia="仿宋"/>
          <w:sz w:val="28"/>
          <w:szCs w:val="28"/>
        </w:rPr>
      </w:pPr>
      <w:r>
        <w:rPr>
          <w:rFonts w:hint="eastAsia" w:ascii="仿宋" w:hAnsi="仿宋" w:eastAsia="仿宋"/>
          <w:sz w:val="28"/>
          <w:szCs w:val="28"/>
        </w:rPr>
        <w:t>正大天晴在江苏南京、连云港、上海建有6大研发生产基地。制剂基地获得全国首张新版GMP证书，多条生产线通过欧盟cGMP、美国FDA认证。这些证书的取得标志着企业药品生产质量和管理水平走在了全国医药行业前列。</w:t>
      </w:r>
    </w:p>
    <w:p>
      <w:pPr>
        <w:pStyle w:val="14"/>
        <w:ind w:firstLine="0" w:firstLineChars="0"/>
        <w:rPr>
          <w:rFonts w:ascii="黑体" w:hAnsi="黑体" w:eastAsia="黑体"/>
          <w:b/>
          <w:sz w:val="28"/>
          <w:szCs w:val="28"/>
        </w:rPr>
      </w:pPr>
      <w:r>
        <w:rPr>
          <w:rFonts w:ascii="黑体" w:hAnsi="黑体" w:eastAsia="黑体"/>
          <w:b/>
          <w:sz w:val="36"/>
          <w:szCs w:val="36"/>
        </w:rPr>
        <w:drawing>
          <wp:inline distT="0" distB="0" distL="0" distR="0">
            <wp:extent cx="5274310" cy="3455035"/>
            <wp:effectExtent l="0" t="0" r="2540" b="0"/>
            <wp:docPr id="3" name="图片 3" descr="公司1号主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1号主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455582"/>
                    </a:xfrm>
                    <a:prstGeom prst="rect">
                      <a:avLst/>
                    </a:prstGeom>
                    <a:noFill/>
                    <a:ln>
                      <a:noFill/>
                    </a:ln>
                  </pic:spPr>
                </pic:pic>
              </a:graphicData>
            </a:graphic>
          </wp:inline>
        </w:drawing>
      </w:r>
    </w:p>
    <w:p>
      <w:pPr>
        <w:numPr>
          <w:ilvl w:val="0"/>
          <w:numId w:val="1"/>
        </w:numPr>
        <w:spacing w:line="360" w:lineRule="auto"/>
        <w:jc w:val="left"/>
        <w:rPr>
          <w:rFonts w:ascii="黑体" w:hAnsi="黑体" w:eastAsia="黑体"/>
          <w:b/>
          <w:sz w:val="28"/>
          <w:szCs w:val="28"/>
        </w:rPr>
      </w:pPr>
      <w:bookmarkStart w:id="0" w:name="OLE_LINK1"/>
      <w:r>
        <w:rPr>
          <w:rFonts w:hint="eastAsia" w:ascii="黑体" w:hAnsi="黑体" w:eastAsia="黑体"/>
          <w:b/>
          <w:sz w:val="28"/>
          <w:szCs w:val="28"/>
        </w:rPr>
        <w:t>需求岗位</w:t>
      </w:r>
    </w:p>
    <w:tbl>
      <w:tblPr>
        <w:tblStyle w:val="7"/>
        <w:tblW w:w="8326" w:type="dxa"/>
        <w:tblInd w:w="113" w:type="dxa"/>
        <w:tblLayout w:type="autofit"/>
        <w:tblCellMar>
          <w:top w:w="0" w:type="dxa"/>
          <w:left w:w="108" w:type="dxa"/>
          <w:bottom w:w="0" w:type="dxa"/>
          <w:right w:w="108" w:type="dxa"/>
        </w:tblCellMar>
      </w:tblPr>
      <w:tblGrid>
        <w:gridCol w:w="704"/>
        <w:gridCol w:w="1843"/>
        <w:gridCol w:w="709"/>
        <w:gridCol w:w="1417"/>
        <w:gridCol w:w="2693"/>
        <w:gridCol w:w="960"/>
      </w:tblGrid>
      <w:tr>
        <w:tblPrEx>
          <w:tblCellMar>
            <w:top w:w="0" w:type="dxa"/>
            <w:left w:w="108" w:type="dxa"/>
            <w:bottom w:w="0" w:type="dxa"/>
            <w:right w:w="108" w:type="dxa"/>
          </w:tblCellMar>
        </w:tblPrEx>
        <w:trPr>
          <w:trHeight w:val="771" w:hRule="atLeast"/>
        </w:trPr>
        <w:tc>
          <w:tcPr>
            <w:tcW w:w="83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hint="eastAsia" w:ascii="Calibri" w:hAnsi="Calibri" w:eastAsia="等线" w:cs="Calibri"/>
                <w:b/>
                <w:bCs/>
                <w:color w:val="404040" w:themeColor="text1" w:themeTint="BF"/>
                <w:kern w:val="0"/>
                <w:sz w:val="36"/>
                <w:szCs w:val="36"/>
                <w14:textFill>
                  <w14:solidFill>
                    <w14:schemeClr w14:val="tx1">
                      <w14:lumMod w14:val="75000"/>
                      <w14:lumOff w14:val="25000"/>
                    </w14:schemeClr>
                  </w14:solidFill>
                </w14:textFill>
              </w:rPr>
              <w:t>2</w:t>
            </w:r>
            <w:r>
              <w:rPr>
                <w:rFonts w:ascii="Calibri" w:hAnsi="Calibri" w:eastAsia="等线" w:cs="Calibri"/>
                <w:b/>
                <w:bCs/>
                <w:color w:val="404040" w:themeColor="text1" w:themeTint="BF"/>
                <w:kern w:val="0"/>
                <w:sz w:val="36"/>
                <w:szCs w:val="36"/>
                <w14:textFill>
                  <w14:solidFill>
                    <w14:schemeClr w14:val="tx1">
                      <w14:lumMod w14:val="75000"/>
                      <w14:lumOff w14:val="25000"/>
                    </w14:schemeClr>
                  </w14:solidFill>
                </w14:textFill>
              </w:rPr>
              <w:t>02</w:t>
            </w:r>
            <w:r>
              <w:rPr>
                <w:rFonts w:hint="eastAsia" w:ascii="Calibri" w:hAnsi="Calibri" w:eastAsia="等线" w:cs="Calibri"/>
                <w:b/>
                <w:bCs/>
                <w:color w:val="404040" w:themeColor="text1" w:themeTint="BF"/>
                <w:kern w:val="0"/>
                <w:sz w:val="36"/>
                <w:szCs w:val="36"/>
                <w:lang w:val="en-US" w:eastAsia="zh-CN"/>
                <w14:textFill>
                  <w14:solidFill>
                    <w14:schemeClr w14:val="tx1">
                      <w14:lumMod w14:val="75000"/>
                      <w14:lumOff w14:val="25000"/>
                    </w14:schemeClr>
                  </w14:solidFill>
                </w14:textFill>
              </w:rPr>
              <w:t>5</w:t>
            </w:r>
            <w:r>
              <w:rPr>
                <w:rFonts w:hint="eastAsia" w:ascii="Calibri" w:hAnsi="Calibri" w:eastAsia="等线" w:cs="Calibri"/>
                <w:b/>
                <w:bCs/>
                <w:color w:val="404040" w:themeColor="text1" w:themeTint="BF"/>
                <w:kern w:val="0"/>
                <w:sz w:val="36"/>
                <w:szCs w:val="36"/>
                <w14:textFill>
                  <w14:solidFill>
                    <w14:schemeClr w14:val="tx1">
                      <w14:lumMod w14:val="75000"/>
                      <w14:lumOff w14:val="25000"/>
                    </w14:schemeClr>
                  </w14:solidFill>
                </w14:textFill>
              </w:rPr>
              <w:t>届校园招聘</w:t>
            </w:r>
          </w:p>
        </w:tc>
      </w:tr>
      <w:tr>
        <w:tblPrEx>
          <w:tblCellMar>
            <w:top w:w="0" w:type="dxa"/>
            <w:left w:w="108" w:type="dxa"/>
            <w:bottom w:w="0" w:type="dxa"/>
            <w:right w:w="108" w:type="dxa"/>
          </w:tblCellMar>
        </w:tblPrEx>
        <w:trPr>
          <w:trHeight w:val="54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系统</w:t>
            </w: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岗位名称</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人数</w:t>
            </w:r>
          </w:p>
        </w:tc>
        <w:tc>
          <w:tcPr>
            <w:tcW w:w="141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学历</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专业要求</w:t>
            </w:r>
          </w:p>
        </w:tc>
        <w:tc>
          <w:tcPr>
            <w:tcW w:w="96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pPr>
            <w:r>
              <w:rPr>
                <w:rFonts w:ascii="Calibri" w:hAnsi="Calibri" w:eastAsia="等线" w:cs="Calibri"/>
                <w:b/>
                <w:bCs/>
                <w:color w:val="404040" w:themeColor="text1" w:themeTint="BF"/>
                <w:kern w:val="0"/>
                <w:sz w:val="22"/>
                <w:szCs w:val="22"/>
                <w14:textFill>
                  <w14:solidFill>
                    <w14:schemeClr w14:val="tx1">
                      <w14:lumMod w14:val="75000"/>
                      <w14:lumOff w14:val="25000"/>
                    </w14:schemeClr>
                  </w14:solidFill>
                </w14:textFill>
              </w:rPr>
              <w:t>城市</w:t>
            </w:r>
          </w:p>
        </w:tc>
      </w:tr>
      <w:tr>
        <w:tblPrEx>
          <w:tblCellMar>
            <w:top w:w="0" w:type="dxa"/>
            <w:left w:w="108" w:type="dxa"/>
            <w:bottom w:w="0" w:type="dxa"/>
            <w:right w:w="108" w:type="dxa"/>
          </w:tblCellMar>
        </w:tblPrEx>
        <w:trPr>
          <w:trHeight w:val="297" w:hRule="atLeast"/>
        </w:trPr>
        <w:tc>
          <w:tcPr>
            <w:tcW w:w="704" w:type="dxa"/>
            <w:vMerge w:val="restart"/>
            <w:tcBorders>
              <w:top w:val="nil"/>
              <w:left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行销系统</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学术专员</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100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本科</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医药、生物相关</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全国</w:t>
            </w:r>
          </w:p>
        </w:tc>
      </w:tr>
      <w:tr>
        <w:tblPrEx>
          <w:tblCellMar>
            <w:top w:w="0" w:type="dxa"/>
            <w:left w:w="108" w:type="dxa"/>
            <w:bottom w:w="0" w:type="dxa"/>
            <w:right w:w="108" w:type="dxa"/>
          </w:tblCellMar>
        </w:tblPrEx>
        <w:trPr>
          <w:trHeight w:val="297" w:hRule="atLeast"/>
        </w:trPr>
        <w:tc>
          <w:tcPr>
            <w:tcW w:w="704"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区域产品专员</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3</w:t>
            </w:r>
            <w:r>
              <w:rPr>
                <w:rFonts w:ascii="宋体" w:hAnsi="宋体" w:cs="宋体"/>
                <w:color w:val="404040" w:themeColor="text1" w:themeTint="BF"/>
                <w:kern w:val="0"/>
                <w:sz w:val="18"/>
                <w:szCs w:val="18"/>
                <w14:textFill>
                  <w14:solidFill>
                    <w14:schemeClr w14:val="tx1">
                      <w14:lumMod w14:val="75000"/>
                      <w14:lumOff w14:val="25000"/>
                    </w14:schemeClr>
                  </w14:solidFill>
                </w14:textFill>
              </w:rPr>
              <w:t>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硕士</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药学、医学、生物相关</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全国</w:t>
            </w:r>
          </w:p>
        </w:tc>
      </w:tr>
      <w:tr>
        <w:tblPrEx>
          <w:tblCellMar>
            <w:top w:w="0" w:type="dxa"/>
            <w:left w:w="108" w:type="dxa"/>
            <w:bottom w:w="0" w:type="dxa"/>
            <w:right w:w="108" w:type="dxa"/>
          </w:tblCellMar>
        </w:tblPrEx>
        <w:trPr>
          <w:trHeight w:val="29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商业系统</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零售代表</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404040" w:themeColor="text1" w:themeTint="BF"/>
                <w:kern w:val="0"/>
                <w:sz w:val="18"/>
                <w:szCs w:val="18"/>
                <w:lang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t>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本科</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医药相关</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全国</w:t>
            </w:r>
          </w:p>
        </w:tc>
      </w:tr>
      <w:tr>
        <w:tblPrEx>
          <w:tblCellMar>
            <w:top w:w="0" w:type="dxa"/>
            <w:left w:w="108" w:type="dxa"/>
            <w:bottom w:w="0" w:type="dxa"/>
            <w:right w:w="108" w:type="dxa"/>
          </w:tblCellMar>
        </w:tblPrEx>
        <w:trPr>
          <w:trHeight w:val="297" w:hRule="atLeast"/>
        </w:trPr>
        <w:tc>
          <w:tcPr>
            <w:tcW w:w="704" w:type="dxa"/>
            <w:vMerge w:val="restart"/>
            <w:tcBorders>
              <w:left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404040" w:themeColor="text1" w:themeTint="BF"/>
                <w:kern w:val="0"/>
                <w:sz w:val="18"/>
                <w:szCs w:val="18"/>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t>职能系统</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前端开发工程师</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ascii="宋体" w:hAnsi="宋体" w:cs="宋体"/>
                <w:color w:val="404040" w:themeColor="text1" w:themeTint="BF"/>
                <w:kern w:val="0"/>
                <w:sz w:val="18"/>
                <w:szCs w:val="18"/>
                <w:lang w:bidi="ar"/>
                <w14:textFill>
                  <w14:solidFill>
                    <w14:schemeClr w14:val="tx1">
                      <w14:lumMod w14:val="75000"/>
                      <w14:lumOff w14:val="25000"/>
                    </w14:schemeClr>
                  </w14:solidFill>
                </w14:textFill>
              </w:rPr>
              <w:t>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计算机、软件等相关</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JAVA开发工程师</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计算机、软件等相关</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708"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14:textFill>
                  <w14:solidFill>
                    <w14:schemeClr w14:val="tx1">
                      <w14:lumMod w14:val="75000"/>
                      <w14:lumOff w14:val="25000"/>
                    </w14:schemeClr>
                  </w14:solidFill>
                </w14:textFill>
              </w:rPr>
              <w:t>研发系统</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临床监查员</w:t>
            </w:r>
          </w:p>
        </w:tc>
        <w:tc>
          <w:tcPr>
            <w:tcW w:w="709" w:type="dxa"/>
            <w:tcBorders>
              <w:top w:val="nil"/>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20</w:t>
            </w:r>
          </w:p>
        </w:tc>
        <w:tc>
          <w:tcPr>
            <w:tcW w:w="1417" w:type="dxa"/>
            <w:tcBorders>
              <w:top w:val="nil"/>
              <w:left w:val="nil"/>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nil"/>
              <w:left w:val="nil"/>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临床医学、临床药学、药学、护理学</w:t>
            </w: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相关</w:t>
            </w:r>
          </w:p>
        </w:tc>
        <w:tc>
          <w:tcPr>
            <w:tcW w:w="960" w:type="dxa"/>
            <w:tcBorders>
              <w:top w:val="nil"/>
              <w:left w:val="nil"/>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全国</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合成研究员</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硕士/博士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药物化学、有机化学、药学、化学等相关</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生物药研究员</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硕士/博士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制药、药学、生物相关专业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药理评价</w:t>
            </w: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研究员</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药学、生物学、</w:t>
            </w: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药理学、药代动力学、医学</w:t>
            </w: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等相关</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404040" w:themeColor="text1" w:themeTint="BF"/>
                <w:kern w:val="0"/>
                <w:sz w:val="18"/>
                <w:szCs w:val="18"/>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t>质量系统</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QC工程师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化工、制药、药学、生物相关</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连云港/南京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311"/>
                <w:tab w:val="center" w:pos="873"/>
              </w:tabs>
              <w:jc w:val="left"/>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eastAsia="zh-CN" w:bidi="ar"/>
                <w14:textFill>
                  <w14:solidFill>
                    <w14:schemeClr w14:val="tx1">
                      <w14:lumMod w14:val="75000"/>
                      <w14:lumOff w14:val="25000"/>
                    </w14:schemeClr>
                  </w14:solidFill>
                </w14:textFill>
              </w:rPr>
              <w:tab/>
            </w: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现场</w:t>
            </w: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QA工程师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化工、制药、药学、生物相关</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连云港/南京</w:t>
            </w:r>
          </w:p>
        </w:tc>
      </w:tr>
      <w:tr>
        <w:tblPrEx>
          <w:tblCellMar>
            <w:top w:w="0" w:type="dxa"/>
            <w:left w:w="108" w:type="dxa"/>
            <w:bottom w:w="0" w:type="dxa"/>
            <w:right w:w="108" w:type="dxa"/>
          </w:tblCellMar>
        </w:tblPrEx>
        <w:trPr>
          <w:trHeight w:val="297"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t>生产系统</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药品生产技术员</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大专</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生物、药学、药品生产、化学、生物、机电机械自动化等相关</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细胞培养工程师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生物、制药相关专业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分离纯化工程师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生物、制药相关专业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南京</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制剂生产工程师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药学、药物制剂等相关专业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连云港</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生产工程师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本科/硕士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化工、制药、药学、生物相关专业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连云港</w:t>
            </w:r>
          </w:p>
        </w:tc>
      </w:tr>
      <w:tr>
        <w:tblPrEx>
          <w:tblCellMar>
            <w:top w:w="0" w:type="dxa"/>
            <w:left w:w="108" w:type="dxa"/>
            <w:bottom w:w="0" w:type="dxa"/>
            <w:right w:w="108" w:type="dxa"/>
          </w:tblCellMar>
        </w:tblPrEx>
        <w:trPr>
          <w:trHeight w:val="297" w:hRule="atLeast"/>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404040" w:themeColor="text1" w:themeTint="BF"/>
                <w:kern w:val="0"/>
                <w:sz w:val="18"/>
                <w:szCs w:val="18"/>
                <w:lang w:val="en-US" w:eastAsia="zh-CN"/>
                <w14:textFill>
                  <w14:solidFill>
                    <w14:schemeClr w14:val="tx1">
                      <w14:lumMod w14:val="75000"/>
                      <w14:lumOff w14:val="2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制剂工艺工程师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val="en-US" w:eastAsia="zh-CN" w:bidi="ar-SA"/>
                <w14:textFill>
                  <w14:solidFill>
                    <w14:schemeClr w14:val="tx1">
                      <w14:lumMod w14:val="75000"/>
                      <w14:lumOff w14:val="25000"/>
                    </w14:schemeClr>
                  </w14:solidFill>
                </w14:textFill>
              </w:rPr>
              <w:t>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硕士</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药学、药物制剂等相关专业</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404040" w:themeColor="text1" w:themeTint="BF"/>
                <w:kern w:val="0"/>
                <w:sz w:val="18"/>
                <w:szCs w:val="18"/>
                <w:lang w:val="en-US" w:eastAsia="zh-CN" w:bidi="ar-SA"/>
                <w14:textFill>
                  <w14:solidFill>
                    <w14:schemeClr w14:val="tx1">
                      <w14:lumMod w14:val="75000"/>
                      <w14:lumOff w14:val="25000"/>
                    </w14:schemeClr>
                  </w14:solidFill>
                </w14:textFill>
              </w:rPr>
            </w:pPr>
            <w:r>
              <w:rPr>
                <w:rFonts w:hint="eastAsia" w:ascii="宋体" w:hAnsi="宋体" w:cs="宋体"/>
                <w:color w:val="404040" w:themeColor="text1" w:themeTint="BF"/>
                <w:kern w:val="0"/>
                <w:sz w:val="18"/>
                <w:szCs w:val="18"/>
                <w:lang w:bidi="ar"/>
                <w14:textFill>
                  <w14:solidFill>
                    <w14:schemeClr w14:val="tx1">
                      <w14:lumMod w14:val="75000"/>
                      <w14:lumOff w14:val="25000"/>
                    </w14:schemeClr>
                  </w14:solidFill>
                </w14:textFill>
              </w:rPr>
              <w:t>连云港</w:t>
            </w:r>
          </w:p>
        </w:tc>
      </w:tr>
    </w:tbl>
    <w:p>
      <w:pPr>
        <w:spacing w:line="360" w:lineRule="auto"/>
        <w:jc w:val="left"/>
        <w:rPr>
          <w:rFonts w:ascii="黑体" w:hAnsi="黑体" w:eastAsia="黑体"/>
          <w:b/>
          <w:sz w:val="28"/>
          <w:szCs w:val="28"/>
        </w:rPr>
      </w:pPr>
      <w:r>
        <w:rPr>
          <w:rFonts w:hint="eastAsia" w:ascii="黑体" w:hAnsi="黑体" w:eastAsia="黑体"/>
          <w:b/>
          <w:sz w:val="28"/>
          <w:szCs w:val="28"/>
        </w:rPr>
        <w:t>三、投递渠道</w:t>
      </w:r>
    </w:p>
    <w:p>
      <w:pPr>
        <w:spacing w:line="360" w:lineRule="auto"/>
        <w:jc w:val="left"/>
        <w:rPr>
          <w:rFonts w:ascii="黑体" w:hAnsi="黑体" w:eastAsia="黑体"/>
          <w:b/>
          <w:sz w:val="36"/>
          <w:szCs w:val="36"/>
        </w:rPr>
      </w:pPr>
      <w:r>
        <w:rPr>
          <w:rFonts w:ascii="仿宋" w:hAnsi="仿宋" w:eastAsia="仿宋"/>
          <w:b/>
          <w:sz w:val="28"/>
          <w:szCs w:val="28"/>
        </w:rPr>
        <w:drawing>
          <wp:anchor distT="0" distB="0" distL="114300" distR="114300" simplePos="0" relativeHeight="251659264" behindDoc="1" locked="0" layoutInCell="1" allowOverlap="1">
            <wp:simplePos x="0" y="0"/>
            <wp:positionH relativeFrom="margin">
              <wp:posOffset>1809115</wp:posOffset>
            </wp:positionH>
            <wp:positionV relativeFrom="paragraph">
              <wp:posOffset>1905</wp:posOffset>
            </wp:positionV>
            <wp:extent cx="1561465" cy="1561465"/>
            <wp:effectExtent l="0" t="0" r="635" b="635"/>
            <wp:wrapThrough wrapText="bothSides">
              <wp:wrapPolygon>
                <wp:start x="0" y="0"/>
                <wp:lineTo x="0" y="21345"/>
                <wp:lineTo x="21345" y="21345"/>
                <wp:lineTo x="21345" y="0"/>
                <wp:lineTo x="0" y="0"/>
              </wp:wrapPolygon>
            </wp:wrapThrough>
            <wp:docPr id="2" name="图片 2" descr="E:\天晴\5-公司执照及财务信息\集团\qrcode_for_gh_19279d8ac477_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天晴\5-公司执照及财务信息\集团\qrcode_for_gh_19279d8ac477_8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1465" cy="1561465"/>
                    </a:xfrm>
                    <a:prstGeom prst="rect">
                      <a:avLst/>
                    </a:prstGeom>
                    <a:noFill/>
                    <a:ln>
                      <a:noFill/>
                    </a:ln>
                  </pic:spPr>
                </pic:pic>
              </a:graphicData>
            </a:graphic>
          </wp:anchor>
        </w:drawing>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黑体" w:hAnsi="黑体" w:eastAsia="黑体"/>
          <w:b/>
          <w:sz w:val="28"/>
          <w:szCs w:val="28"/>
        </w:rPr>
      </w:pPr>
      <w:r>
        <w:rPr>
          <w:rFonts w:hint="eastAsia" w:ascii="仿宋" w:hAnsi="仿宋" w:eastAsia="仿宋"/>
          <w:b/>
          <w:sz w:val="28"/>
          <w:szCs w:val="28"/>
        </w:rPr>
        <w:t>官方</w:t>
      </w:r>
      <w:r>
        <w:rPr>
          <w:rFonts w:ascii="仿宋" w:hAnsi="仿宋" w:eastAsia="仿宋"/>
          <w:b/>
          <w:sz w:val="28"/>
          <w:szCs w:val="28"/>
        </w:rPr>
        <w:t>微信：</w:t>
      </w:r>
      <w:r>
        <w:rPr>
          <w:rFonts w:hint="eastAsia" w:ascii="仿宋" w:hAnsi="仿宋" w:eastAsia="仿宋"/>
          <w:b/>
          <w:sz w:val="28"/>
          <w:szCs w:val="28"/>
        </w:rPr>
        <w:t>正大天晴</w:t>
      </w:r>
      <w:r>
        <w:rPr>
          <w:rFonts w:ascii="仿宋" w:hAnsi="仿宋" w:eastAsia="仿宋"/>
          <w:b/>
          <w:sz w:val="28"/>
          <w:szCs w:val="28"/>
        </w:rPr>
        <w:t>招聘或</w:t>
      </w:r>
      <w:r>
        <w:rPr>
          <w:rFonts w:hint="eastAsia" w:ascii="仿宋" w:hAnsi="仿宋" w:eastAsia="仿宋"/>
          <w:b/>
          <w:sz w:val="28"/>
          <w:szCs w:val="28"/>
        </w:rPr>
        <w:t>cttq</w:t>
      </w:r>
      <w:r>
        <w:rPr>
          <w:rFonts w:ascii="仿宋" w:hAnsi="仿宋" w:eastAsia="仿宋"/>
          <w:b/>
          <w:sz w:val="28"/>
          <w:szCs w:val="28"/>
        </w:rPr>
        <w:t>careers</w:t>
      </w:r>
      <w:r>
        <w:rPr>
          <w:rFonts w:hint="eastAsia" w:ascii="仿宋" w:hAnsi="仿宋" w:eastAsia="仿宋"/>
          <w:b/>
          <w:sz w:val="28"/>
          <w:szCs w:val="28"/>
        </w:rPr>
        <w:t>（首选）</w:t>
      </w:r>
    </w:p>
    <w:p>
      <w:pPr>
        <w:widowControl/>
        <w:jc w:val="left"/>
        <w:rPr>
          <w:rFonts w:ascii="仿宋" w:hAnsi="仿宋" w:eastAsia="仿宋"/>
          <w:b/>
          <w:sz w:val="28"/>
          <w:szCs w:val="28"/>
        </w:rPr>
      </w:pPr>
      <w:r>
        <w:rPr>
          <w:rFonts w:hint="eastAsia" w:ascii="仿宋" w:hAnsi="仿宋" w:eastAsia="仿宋"/>
          <w:b/>
          <w:sz w:val="28"/>
          <w:szCs w:val="28"/>
        </w:rPr>
        <w:t xml:space="preserve">企业官网：http://www.cttq.com </w:t>
      </w:r>
    </w:p>
    <w:p>
      <w:pPr>
        <w:widowControl/>
        <w:jc w:val="left"/>
        <w:rPr>
          <w:rFonts w:ascii="仿宋" w:hAnsi="仿宋" w:eastAsia="仿宋"/>
          <w:b/>
          <w:sz w:val="28"/>
          <w:szCs w:val="28"/>
        </w:rPr>
      </w:pPr>
      <w:r>
        <w:rPr>
          <w:rFonts w:hint="eastAsia" w:ascii="仿宋" w:hAnsi="仿宋" w:eastAsia="仿宋"/>
          <w:b/>
          <w:sz w:val="28"/>
          <w:szCs w:val="28"/>
        </w:rPr>
        <w:t>正大天晴招聘主页：</w:t>
      </w:r>
      <w:r>
        <w:fldChar w:fldCharType="begin"/>
      </w:r>
      <w:r>
        <w:instrText xml:space="preserve"> HYPERLINK "http://cttq.zhiye.com/" </w:instrText>
      </w:r>
      <w:r>
        <w:fldChar w:fldCharType="separate"/>
      </w:r>
      <w:r>
        <w:rPr>
          <w:rStyle w:val="9"/>
          <w:rFonts w:hint="eastAsia" w:ascii="仿宋" w:hAnsi="仿宋" w:eastAsia="仿宋"/>
          <w:b/>
          <w:sz w:val="28"/>
          <w:szCs w:val="28"/>
        </w:rPr>
        <w:t>http://cttq.zhiye.com/</w:t>
      </w:r>
      <w:r>
        <w:rPr>
          <w:rStyle w:val="9"/>
          <w:rFonts w:hint="eastAsia" w:ascii="仿宋" w:hAnsi="仿宋" w:eastAsia="仿宋"/>
          <w:b/>
          <w:sz w:val="28"/>
          <w:szCs w:val="28"/>
        </w:rPr>
        <w:fldChar w:fldCharType="end"/>
      </w:r>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1642745" cy="228600"/>
          <wp:effectExtent l="0" t="0" r="14605" b="0"/>
          <wp:docPr id="1" name="图片 1" descr="正大天晴药业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正大天晴药业集团logo"/>
                  <pic:cNvPicPr>
                    <a:picLocks noChangeAspect="1"/>
                  </pic:cNvPicPr>
                </pic:nvPicPr>
                <pic:blipFill>
                  <a:blip r:embed="rId1"/>
                  <a:stretch>
                    <a:fillRect/>
                  </a:stretch>
                </pic:blipFill>
                <pic:spPr>
                  <a:xfrm>
                    <a:off x="0" y="0"/>
                    <a:ext cx="1642745" cy="228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7872E"/>
    <w:multiLevelType w:val="singleLevel"/>
    <w:tmpl w:val="5B97872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mYzMyN2IwMTc0ZDQxYTBjNzY0ZDE4ODZmMzhjNTIifQ=="/>
  </w:docVars>
  <w:rsids>
    <w:rsidRoot w:val="00172A27"/>
    <w:rsid w:val="00063B5A"/>
    <w:rsid w:val="000B5D06"/>
    <w:rsid w:val="000E1751"/>
    <w:rsid w:val="000F1BAB"/>
    <w:rsid w:val="00172A27"/>
    <w:rsid w:val="001873BD"/>
    <w:rsid w:val="00197D2D"/>
    <w:rsid w:val="001C2C75"/>
    <w:rsid w:val="00225DAC"/>
    <w:rsid w:val="00227DF2"/>
    <w:rsid w:val="00262FCF"/>
    <w:rsid w:val="002A0C17"/>
    <w:rsid w:val="00361926"/>
    <w:rsid w:val="00390F02"/>
    <w:rsid w:val="003D170F"/>
    <w:rsid w:val="00442C2D"/>
    <w:rsid w:val="004E2A92"/>
    <w:rsid w:val="00551A3F"/>
    <w:rsid w:val="00581DA9"/>
    <w:rsid w:val="00593C74"/>
    <w:rsid w:val="005C24AC"/>
    <w:rsid w:val="005F48CF"/>
    <w:rsid w:val="00621FA2"/>
    <w:rsid w:val="00673A3A"/>
    <w:rsid w:val="0069508D"/>
    <w:rsid w:val="006F6142"/>
    <w:rsid w:val="00724F42"/>
    <w:rsid w:val="00730895"/>
    <w:rsid w:val="0078785E"/>
    <w:rsid w:val="007E1B31"/>
    <w:rsid w:val="008A73F0"/>
    <w:rsid w:val="008D51FD"/>
    <w:rsid w:val="008F5E1B"/>
    <w:rsid w:val="00900C5F"/>
    <w:rsid w:val="00955EE6"/>
    <w:rsid w:val="0096397D"/>
    <w:rsid w:val="00A41B97"/>
    <w:rsid w:val="00AE4635"/>
    <w:rsid w:val="00B606D1"/>
    <w:rsid w:val="00B75E65"/>
    <w:rsid w:val="00BE5ECB"/>
    <w:rsid w:val="00BE7C88"/>
    <w:rsid w:val="00BF0AF4"/>
    <w:rsid w:val="00C07A3D"/>
    <w:rsid w:val="00C24B7B"/>
    <w:rsid w:val="00C25310"/>
    <w:rsid w:val="00C47969"/>
    <w:rsid w:val="00C535A2"/>
    <w:rsid w:val="00CC6513"/>
    <w:rsid w:val="00CD5B04"/>
    <w:rsid w:val="00D109AB"/>
    <w:rsid w:val="00D213A6"/>
    <w:rsid w:val="00D21CC3"/>
    <w:rsid w:val="00D348E1"/>
    <w:rsid w:val="00D83615"/>
    <w:rsid w:val="00D86D09"/>
    <w:rsid w:val="00D90764"/>
    <w:rsid w:val="00DC4FDB"/>
    <w:rsid w:val="00DF07A3"/>
    <w:rsid w:val="00E33168"/>
    <w:rsid w:val="00E80697"/>
    <w:rsid w:val="00ED1867"/>
    <w:rsid w:val="00EE2F50"/>
    <w:rsid w:val="00F4372B"/>
    <w:rsid w:val="00F45C86"/>
    <w:rsid w:val="00FC12F0"/>
    <w:rsid w:val="00FD59CC"/>
    <w:rsid w:val="00FF0633"/>
    <w:rsid w:val="04E17EBB"/>
    <w:rsid w:val="05AB2748"/>
    <w:rsid w:val="05B54E9F"/>
    <w:rsid w:val="10205C1F"/>
    <w:rsid w:val="17691DBE"/>
    <w:rsid w:val="17DE25A8"/>
    <w:rsid w:val="1EEF0D74"/>
    <w:rsid w:val="1F864241"/>
    <w:rsid w:val="25D66C68"/>
    <w:rsid w:val="26E90F54"/>
    <w:rsid w:val="31D95E67"/>
    <w:rsid w:val="332361C0"/>
    <w:rsid w:val="354A2A0F"/>
    <w:rsid w:val="35C7420A"/>
    <w:rsid w:val="3945668E"/>
    <w:rsid w:val="39AC4B9C"/>
    <w:rsid w:val="3B6B1E54"/>
    <w:rsid w:val="3D5B5F91"/>
    <w:rsid w:val="3DD60490"/>
    <w:rsid w:val="40442E72"/>
    <w:rsid w:val="434B0782"/>
    <w:rsid w:val="43F42284"/>
    <w:rsid w:val="47AA2B90"/>
    <w:rsid w:val="4C561B03"/>
    <w:rsid w:val="50200100"/>
    <w:rsid w:val="5175461B"/>
    <w:rsid w:val="53A54003"/>
    <w:rsid w:val="577E6079"/>
    <w:rsid w:val="5841051E"/>
    <w:rsid w:val="58650514"/>
    <w:rsid w:val="674C2517"/>
    <w:rsid w:val="69F7087D"/>
    <w:rsid w:val="72400205"/>
    <w:rsid w:val="72DA0D34"/>
    <w:rsid w:val="74B54EFD"/>
    <w:rsid w:val="76A237C9"/>
    <w:rsid w:val="77FE53F7"/>
    <w:rsid w:val="780C46FE"/>
    <w:rsid w:val="79722FD0"/>
    <w:rsid w:val="7CF41B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列出段落1"/>
    <w:basedOn w:val="1"/>
    <w:qFormat/>
    <w:uiPriority w:val="34"/>
    <w:pPr>
      <w:widowControl/>
      <w:ind w:firstLine="420" w:firstLineChars="200"/>
      <w:jc w:val="left"/>
    </w:pPr>
    <w:rPr>
      <w:rFonts w:ascii="宋体" w:hAnsi="宋体" w:cs="宋体"/>
      <w:kern w:val="0"/>
      <w:sz w:val="24"/>
    </w:rPr>
  </w:style>
  <w:style w:type="character" w:customStyle="1" w:styleId="11">
    <w:name w:val="批注框文本 字符"/>
    <w:basedOn w:val="8"/>
    <w:link w:val="2"/>
    <w:semiHidden/>
    <w:qFormat/>
    <w:uiPriority w:val="99"/>
    <w:rPr>
      <w:rFonts w:ascii="Times New Roman" w:hAnsi="Times New Roman" w:eastAsia="宋体" w:cs="Times New Roman"/>
      <w:sz w:val="18"/>
      <w:szCs w:val="18"/>
    </w:rPr>
  </w:style>
  <w:style w:type="character" w:customStyle="1" w:styleId="12">
    <w:name w:val="页眉 字符"/>
    <w:basedOn w:val="8"/>
    <w:link w:val="4"/>
    <w:qFormat/>
    <w:uiPriority w:val="99"/>
    <w:rPr>
      <w:rFonts w:ascii="Times New Roman" w:hAnsi="Times New Roman" w:eastAsia="宋体" w:cs="Times New Roman"/>
      <w:sz w:val="18"/>
      <w:szCs w:val="18"/>
    </w:rPr>
  </w:style>
  <w:style w:type="character" w:customStyle="1" w:styleId="13">
    <w:name w:val="页脚 字符"/>
    <w:basedOn w:val="8"/>
    <w:link w:val="3"/>
    <w:qFormat/>
    <w:uiPriority w:val="99"/>
    <w:rPr>
      <w:rFonts w:ascii="Times New Roman" w:hAnsi="Times New Roman" w:eastAsia="宋体" w:cs="Times New Roman"/>
      <w:sz w:val="18"/>
      <w:szCs w:val="18"/>
    </w:rPr>
  </w:style>
  <w:style w:type="paragraph" w:customStyle="1" w:styleId="14">
    <w:name w:val="列出段落11"/>
    <w:basedOn w:val="1"/>
    <w:qFormat/>
    <w:uiPriority w:val="99"/>
    <w:pPr>
      <w:ind w:firstLine="420" w:firstLineChars="200"/>
    </w:pPr>
    <w:rPr>
      <w:rFonts w:ascii="Calibri" w:hAnsi="Calibri"/>
      <w:szCs w:val="22"/>
    </w:rPr>
  </w:style>
  <w:style w:type="paragraph" w:customStyle="1" w:styleId="15">
    <w:name w:val="Char Char Char Char Char Char Char Char Char Char Char Char Char"/>
    <w:basedOn w:val="1"/>
    <w:qFormat/>
    <w:uiPriority w:val="0"/>
    <w:rPr>
      <w:rFonts w:eastAsia="方正仿宋_GBK"/>
      <w:snapToGrid w:val="0"/>
      <w:kern w:val="0"/>
      <w:sz w:val="32"/>
      <w:szCs w:val="20"/>
    </w:rPr>
  </w:style>
  <w:style w:type="character" w:customStyle="1" w:styleId="16">
    <w:name w:val="未处理的提及1"/>
    <w:basedOn w:val="8"/>
    <w:unhideWhenUsed/>
    <w:qFormat/>
    <w:uiPriority w:val="99"/>
    <w:rPr>
      <w:color w:val="605E5C"/>
      <w:shd w:val="clear" w:color="auto" w:fill="E1DFDD"/>
    </w:rPr>
  </w:style>
  <w:style w:type="character" w:customStyle="1" w:styleId="17">
    <w:name w:val="text-only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336</Words>
  <Characters>1920</Characters>
  <Lines>16</Lines>
  <Paragraphs>4</Paragraphs>
  <TotalTime>25</TotalTime>
  <ScaleCrop>false</ScaleCrop>
  <LinksUpToDate>false</LinksUpToDate>
  <CharactersWithSpaces>2252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2023-10-11T08:07:00Z</dcterms:created>
  <dc:creator>liupd</dc:creator>
  <cp:lastModifiedBy>王婧杰，鹰眼</cp:lastModifiedBy>
  <cp:lastPrinted>2014-11-22T01:11:00Z</cp:lastPrinted>
  <dcterms:modified xsi:type="dcterms:W3CDTF">2024-10-08T09:51:30Z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72B13CEC18A745279BCDED375DD9FF26_13</vt:lpwstr>
  </property>
</Properties>
</file>