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bCs/>
          <w:spacing w:val="8"/>
          <w:sz w:val="32"/>
          <w:szCs w:val="32"/>
          <w:u w:val="none"/>
        </w:rPr>
      </w:pPr>
      <w:bookmarkStart w:id="2" w:name="_GoBack"/>
      <w:bookmarkStart w:id="0" w:name="OLE_LINK1"/>
      <w:bookmarkStart w:id="1" w:name="OLE_LINK2"/>
      <w:r>
        <w:rPr>
          <w:rFonts w:hint="eastAsia" w:ascii="黑体" w:hAnsi="黑体" w:eastAsia="黑体"/>
          <w:bCs/>
          <w:spacing w:val="8"/>
          <w:sz w:val="32"/>
          <w:szCs w:val="32"/>
          <w:u w:val="none"/>
        </w:rPr>
        <w:t>附件2</w:t>
      </w:r>
    </w:p>
    <w:bookmarkEnd w:id="2"/>
    <w:p>
      <w:pPr>
        <w:spacing w:line="500" w:lineRule="exact"/>
        <w:jc w:val="center"/>
        <w:rPr>
          <w:rFonts w:ascii="Times New Roman" w:hAnsi="Times New Roman" w:eastAsia="方正小标宋简体"/>
          <w:bCs/>
          <w:spacing w:val="8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spacing w:val="8"/>
          <w:sz w:val="36"/>
          <w:szCs w:val="36"/>
          <w:u w:val="none"/>
          <w:lang w:eastAsia="zh-CN"/>
        </w:rPr>
        <w:t>2025</w:t>
      </w:r>
      <w:r>
        <w:rPr>
          <w:rFonts w:ascii="Times New Roman" w:hAnsi="Times New Roman" w:eastAsia="方正小标宋简体"/>
          <w:bCs/>
          <w:spacing w:val="8"/>
          <w:sz w:val="36"/>
          <w:szCs w:val="36"/>
          <w:u w:val="none"/>
        </w:rPr>
        <w:t>年定向选调生招录急需紧缺专业目录</w:t>
      </w:r>
    </w:p>
    <w:bookmarkEnd w:id="0"/>
    <w:bookmarkEnd w:id="1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216" w:lineRule="auto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（二）土建类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建筑工程，给水排水（科学）工程，防灾减灾工程及防护工程，消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机器人制造，数据科学与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临床医学、中药学，中药资源与开发，壮医学，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预防医学，中医养生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复），卫生监督，基础医学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ZTc2NmFmMDE1OTY1NjIxZmY3ZGU2MDc4ODE0YTgifQ=="/>
  </w:docVars>
  <w:rsids>
    <w:rsidRoot w:val="10D0301B"/>
    <w:rsid w:val="10D0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2024-11-04T03:50:00Z</dcterms:created>
  <dc:creator>米 口</dc:creator>
  <cp:lastModifiedBy>米 口</cp:lastModifiedBy>
  <dcterms:modified xsi:type="dcterms:W3CDTF">2024-11-04T03:50:10Z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3B95523261824F1CAA26FE9A577A6B5A_11</vt:lpwstr>
  </property>
</Properties>
</file>