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7B5A9">
      <w:pPr>
        <w:jc w:val="center"/>
        <w:rPr>
          <w:rFonts w:ascii="方正小标宋简体" w:hAnsi="方正小标宋简体" w:eastAsia="方正小标宋简体" w:cs="方正小标宋简体"/>
          <w:b/>
          <w:bCs/>
          <w:sz w:val="32"/>
          <w:szCs w:val="32"/>
        </w:rPr>
      </w:pPr>
      <w:bookmarkStart w:id="1" w:name="_GoBack"/>
      <w:bookmarkEnd w:id="1"/>
      <w:bookmarkStart w:id="0" w:name="_Hlk49644914"/>
      <w:bookmarkEnd w:id="0"/>
      <w:r>
        <w:rPr>
          <w:rFonts w:hint="eastAsia" w:ascii="方正小标宋简体" w:hAnsi="方正小标宋简体" w:eastAsia="方正小标宋简体" w:cs="方正小标宋简体"/>
          <w:b/>
          <w:bCs/>
          <w:sz w:val="32"/>
          <w:szCs w:val="32"/>
        </w:rPr>
        <w:t>“梦想靠岸”招商银行昆明分行2025校园招聘公告</w:t>
      </w:r>
    </w:p>
    <w:p w14:paraId="20414A48">
      <w:pPr>
        <w:jc w:val="center"/>
        <w:rPr>
          <w:rFonts w:ascii="方正小标宋简体" w:hAnsi="方正小标宋简体" w:eastAsia="方正小标宋简体" w:cs="方正小标宋简体"/>
          <w:b/>
          <w:bCs/>
          <w:sz w:val="32"/>
          <w:szCs w:val="32"/>
        </w:rPr>
      </w:pPr>
    </w:p>
    <w:p w14:paraId="5A2E9AC1">
      <w:pPr>
        <w:widowControl/>
        <w:spacing w:line="5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招商银行昆明分行成立于2001年，是招商银行总行在云南省设立的一级分行。成立23年来，招商银行昆明分行在区域市场内形成了特色的体系化经营能力及重要的市场影响力。截至2023年末，招商银行昆明分行共设立二级分行3家（曲靖、丽江、红河），支行40家（昆明同城32家，异地8家）。</w:t>
      </w:r>
    </w:p>
    <w:p w14:paraId="3F8913C3">
      <w:pPr>
        <w:widowControl/>
        <w:spacing w:line="5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立足红土高原，依托客户的支持与信赖，招商银行昆明分行始终坚持“因您而变”的经营与服务理念。截至2023年末，分行全折人民币各项存款、AUM余额,以及零售、公司客户总量,均在云南省十一家股份制商业银行排名首位。</w:t>
      </w:r>
    </w:p>
    <w:p w14:paraId="3E7E4721">
      <w:pPr>
        <w:widowControl/>
        <w:spacing w:line="5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招商银行昆明分行始终坚持以“服务实体经济”为宗旨，牢牢把握金融工作的“三项任务”，荣获“昆滇2023年度普惠金融服务领军金融机构”“昆滇2023年度支持乡村振兴领军金融机构”“2023年度云南省金融业ESG榜样力量”等荣誉奖项。凭借优良的业绩、较强的风险控制能力和合规经营理念，多次获得“省级文明单位”“昆滇最佳股份制商业银行”“最具人气商业银行”等多项大奖。</w:t>
      </w:r>
    </w:p>
    <w:p w14:paraId="1CE55030">
      <w:pPr>
        <w:widowControl/>
        <w:spacing w:line="5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招商银行昆明分行2025校园招聘正式启动！我们虚位以待，邀您同行，梦想靠岸，开启未来！</w:t>
      </w:r>
    </w:p>
    <w:p w14:paraId="57995866">
      <w:pPr>
        <w:widowControl/>
        <w:spacing w:line="580" w:lineRule="exact"/>
        <w:ind w:firstLine="560" w:firstLineChars="200"/>
        <w:jc w:val="left"/>
        <w:rPr>
          <w:rFonts w:ascii="仿宋" w:hAnsi="仿宋" w:eastAsia="仿宋" w:cs="仿宋"/>
          <w:kern w:val="0"/>
          <w:sz w:val="28"/>
          <w:szCs w:val="28"/>
        </w:rPr>
      </w:pPr>
    </w:p>
    <w:p w14:paraId="73B73D1D">
      <w:pPr>
        <w:widowControl/>
        <w:spacing w:line="580" w:lineRule="exact"/>
        <w:ind w:firstLine="560" w:firstLineChars="200"/>
        <w:jc w:val="left"/>
        <w:rPr>
          <w:rFonts w:ascii="仿宋" w:hAnsi="仿宋" w:eastAsia="仿宋" w:cs="仿宋"/>
          <w:kern w:val="0"/>
          <w:sz w:val="28"/>
          <w:szCs w:val="28"/>
        </w:rPr>
      </w:pPr>
    </w:p>
    <w:p w14:paraId="119A9127">
      <w:pPr>
        <w:widowControl/>
        <w:spacing w:line="580" w:lineRule="exact"/>
        <w:ind w:firstLine="560" w:firstLineChars="200"/>
        <w:jc w:val="left"/>
        <w:rPr>
          <w:rFonts w:hint="eastAsia" w:ascii="仿宋" w:hAnsi="仿宋" w:eastAsia="仿宋" w:cs="仿宋"/>
          <w:kern w:val="0"/>
          <w:sz w:val="28"/>
          <w:szCs w:val="28"/>
        </w:rPr>
      </w:pPr>
    </w:p>
    <w:p w14:paraId="636BD8A7">
      <w:pPr>
        <w:widowControl/>
        <w:spacing w:line="580" w:lineRule="exact"/>
        <w:jc w:val="left"/>
        <w:rPr>
          <w:rFonts w:ascii="仿宋" w:hAnsi="仿宋" w:eastAsia="仿宋" w:cs="仿宋"/>
          <w:kern w:val="0"/>
          <w:sz w:val="28"/>
          <w:szCs w:val="28"/>
        </w:rPr>
      </w:pPr>
    </w:p>
    <w:p w14:paraId="22707494">
      <w:pPr>
        <w:widowControl/>
        <w:spacing w:line="580" w:lineRule="exact"/>
        <w:jc w:val="left"/>
        <w:rPr>
          <w:rFonts w:ascii="仿宋" w:hAnsi="仿宋" w:eastAsia="仿宋" w:cs="仿宋"/>
          <w:kern w:val="0"/>
          <w:sz w:val="28"/>
          <w:szCs w:val="28"/>
        </w:rPr>
      </w:pPr>
    </w:p>
    <w:p w14:paraId="4D61F36D">
      <w:pPr>
        <w:numPr>
          <w:ilvl w:val="0"/>
          <w:numId w:val="1"/>
        </w:numPr>
        <w:spacing w:line="580" w:lineRule="exact"/>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招聘岗位</w:t>
      </w:r>
    </w:p>
    <w:p w14:paraId="7DC2FF63">
      <w:pPr>
        <w:spacing w:line="580" w:lineRule="exact"/>
        <w:rPr>
          <w:rFonts w:ascii="仿宋" w:hAnsi="仿宋" w:eastAsia="仿宋" w:cs="仿宋"/>
          <w:b/>
          <w:kern w:val="0"/>
          <w:sz w:val="28"/>
          <w:szCs w:val="28"/>
        </w:rPr>
      </w:pPr>
    </w:p>
    <w:p w14:paraId="42213CA5">
      <w:pPr>
        <w:widowControl/>
        <w:spacing w:line="360" w:lineRule="auto"/>
        <w:rPr>
          <w:rFonts w:ascii="仿宋" w:hAnsi="仿宋" w:eastAsia="仿宋" w:cs="仿宋"/>
          <w:b/>
          <w:kern w:val="0"/>
          <w:sz w:val="28"/>
          <w:szCs w:val="28"/>
        </w:rPr>
      </w:pPr>
    </w:p>
    <w:tbl>
      <w:tblPr>
        <w:tblStyle w:val="4"/>
        <w:tblpPr w:leftFromText="180" w:rightFromText="180" w:vertAnchor="text" w:horzAnchor="page" w:tblpX="1177" w:tblpY="-6967"/>
        <w:tblOverlap w:val="never"/>
        <w:tblW w:w="10057" w:type="dxa"/>
        <w:tblInd w:w="0" w:type="dxa"/>
        <w:tblLayout w:type="fixed"/>
        <w:tblCellMar>
          <w:top w:w="0" w:type="dxa"/>
          <w:left w:w="108" w:type="dxa"/>
          <w:bottom w:w="0" w:type="dxa"/>
          <w:right w:w="108" w:type="dxa"/>
        </w:tblCellMar>
      </w:tblPr>
      <w:tblGrid>
        <w:gridCol w:w="1029"/>
        <w:gridCol w:w="1453"/>
        <w:gridCol w:w="5505"/>
        <w:gridCol w:w="2070"/>
      </w:tblGrid>
      <w:tr w14:paraId="7AEB74EE">
        <w:tblPrEx>
          <w:tblCellMar>
            <w:top w:w="0" w:type="dxa"/>
            <w:left w:w="108" w:type="dxa"/>
            <w:bottom w:w="0" w:type="dxa"/>
            <w:right w:w="108" w:type="dxa"/>
          </w:tblCellMar>
        </w:tblPrEx>
        <w:trPr>
          <w:trHeight w:val="375" w:hRule="atLeast"/>
        </w:trPr>
        <w:tc>
          <w:tcPr>
            <w:tcW w:w="1029" w:type="dxa"/>
            <w:tcBorders>
              <w:top w:val="single" w:color="auto" w:sz="4" w:space="0"/>
              <w:left w:val="single" w:color="auto" w:sz="4" w:space="0"/>
              <w:bottom w:val="single" w:color="auto" w:sz="4" w:space="0"/>
              <w:right w:val="single" w:color="auto" w:sz="4" w:space="0"/>
            </w:tcBorders>
            <w:vAlign w:val="center"/>
          </w:tcPr>
          <w:p w14:paraId="23B51E40">
            <w:pPr>
              <w:widowControl/>
              <w:jc w:val="center"/>
              <w:rPr>
                <w:rFonts w:cs="宋体"/>
                <w:b w:val="0"/>
                <w:bCs w:val="0"/>
                <w:color w:val="000000"/>
                <w:kern w:val="0"/>
                <w:sz w:val="20"/>
                <w:szCs w:val="20"/>
              </w:rPr>
            </w:pPr>
            <w:r>
              <w:rPr>
                <w:rFonts w:hint="eastAsia" w:cs="宋体"/>
                <w:b w:val="0"/>
                <w:bCs w:val="0"/>
                <w:color w:val="000000"/>
                <w:kern w:val="0"/>
                <w:sz w:val="20"/>
                <w:szCs w:val="20"/>
              </w:rPr>
              <w:t>分行</w:t>
            </w:r>
          </w:p>
        </w:tc>
        <w:tc>
          <w:tcPr>
            <w:tcW w:w="1453" w:type="dxa"/>
            <w:tcBorders>
              <w:top w:val="single" w:color="auto" w:sz="4" w:space="0"/>
              <w:left w:val="nil"/>
              <w:bottom w:val="single" w:color="auto" w:sz="4" w:space="0"/>
              <w:right w:val="single" w:color="auto" w:sz="4" w:space="0"/>
            </w:tcBorders>
            <w:vAlign w:val="center"/>
          </w:tcPr>
          <w:p w14:paraId="65D85835">
            <w:pPr>
              <w:widowControl/>
              <w:jc w:val="center"/>
              <w:rPr>
                <w:rFonts w:cs="宋体"/>
                <w:b w:val="0"/>
                <w:bCs w:val="0"/>
                <w:color w:val="000000"/>
                <w:kern w:val="0"/>
                <w:sz w:val="20"/>
                <w:szCs w:val="20"/>
              </w:rPr>
            </w:pPr>
            <w:r>
              <w:rPr>
                <w:rFonts w:hint="eastAsia" w:cs="宋体"/>
                <w:b w:val="0"/>
                <w:bCs w:val="0"/>
                <w:color w:val="000000"/>
                <w:kern w:val="0"/>
                <w:sz w:val="20"/>
                <w:szCs w:val="20"/>
              </w:rPr>
              <w:t>岗位</w:t>
            </w:r>
          </w:p>
        </w:tc>
        <w:tc>
          <w:tcPr>
            <w:tcW w:w="5505" w:type="dxa"/>
            <w:tcBorders>
              <w:top w:val="single" w:color="auto" w:sz="4" w:space="0"/>
              <w:left w:val="nil"/>
              <w:bottom w:val="single" w:color="auto" w:sz="4" w:space="0"/>
              <w:right w:val="single" w:color="auto" w:sz="4" w:space="0"/>
            </w:tcBorders>
            <w:vAlign w:val="center"/>
          </w:tcPr>
          <w:p w14:paraId="7EC9C221">
            <w:pPr>
              <w:widowControl/>
              <w:jc w:val="center"/>
              <w:rPr>
                <w:rFonts w:cs="宋体"/>
                <w:b w:val="0"/>
                <w:bCs w:val="0"/>
                <w:color w:val="000000"/>
                <w:kern w:val="0"/>
                <w:sz w:val="20"/>
                <w:szCs w:val="20"/>
              </w:rPr>
            </w:pPr>
            <w:r>
              <w:rPr>
                <w:rFonts w:hint="eastAsia" w:cs="宋体"/>
                <w:b w:val="0"/>
                <w:bCs w:val="0"/>
                <w:color w:val="000000"/>
                <w:kern w:val="0"/>
                <w:sz w:val="20"/>
                <w:szCs w:val="20"/>
              </w:rPr>
              <w:t>职责</w:t>
            </w:r>
          </w:p>
        </w:tc>
        <w:tc>
          <w:tcPr>
            <w:tcW w:w="2070" w:type="dxa"/>
            <w:tcBorders>
              <w:top w:val="single" w:color="auto" w:sz="4" w:space="0"/>
              <w:left w:val="nil"/>
              <w:bottom w:val="single" w:color="auto" w:sz="4" w:space="0"/>
              <w:right w:val="single" w:color="auto" w:sz="4" w:space="0"/>
            </w:tcBorders>
            <w:vAlign w:val="center"/>
          </w:tcPr>
          <w:p w14:paraId="64AD0AC1">
            <w:pPr>
              <w:widowControl/>
              <w:jc w:val="center"/>
              <w:rPr>
                <w:rFonts w:cs="宋体"/>
                <w:b w:val="0"/>
                <w:bCs w:val="0"/>
                <w:color w:val="000000"/>
                <w:kern w:val="0"/>
                <w:sz w:val="20"/>
                <w:szCs w:val="20"/>
              </w:rPr>
            </w:pPr>
            <w:r>
              <w:rPr>
                <w:rFonts w:hint="eastAsia" w:cs="宋体"/>
                <w:b w:val="0"/>
                <w:bCs w:val="0"/>
                <w:color w:val="000000"/>
                <w:kern w:val="0"/>
                <w:sz w:val="20"/>
                <w:szCs w:val="20"/>
              </w:rPr>
              <w:t>工作地点</w:t>
            </w:r>
          </w:p>
        </w:tc>
      </w:tr>
      <w:tr w14:paraId="64B76B0F">
        <w:tblPrEx>
          <w:tblCellMar>
            <w:top w:w="0" w:type="dxa"/>
            <w:left w:w="108" w:type="dxa"/>
            <w:bottom w:w="0" w:type="dxa"/>
            <w:right w:w="108" w:type="dxa"/>
          </w:tblCellMar>
        </w:tblPrEx>
        <w:trPr>
          <w:trHeight w:val="1085" w:hRule="atLeast"/>
        </w:trPr>
        <w:tc>
          <w:tcPr>
            <w:tcW w:w="1029" w:type="dxa"/>
            <w:vMerge w:val="restart"/>
            <w:tcBorders>
              <w:top w:val="single" w:color="auto" w:sz="4" w:space="0"/>
              <w:left w:val="single" w:color="auto" w:sz="4" w:space="0"/>
              <w:bottom w:val="single" w:color="auto" w:sz="4" w:space="0"/>
              <w:right w:val="single" w:color="auto" w:sz="4" w:space="0"/>
            </w:tcBorders>
            <w:vAlign w:val="center"/>
          </w:tcPr>
          <w:p w14:paraId="267744F0">
            <w:pPr>
              <w:widowControl/>
              <w:rPr>
                <w:rFonts w:cs="宋体"/>
                <w:b w:val="0"/>
                <w:bCs w:val="0"/>
                <w:color w:val="000000"/>
                <w:kern w:val="0"/>
                <w:sz w:val="20"/>
                <w:szCs w:val="20"/>
              </w:rPr>
            </w:pPr>
            <w:r>
              <w:rPr>
                <w:rFonts w:hint="eastAsia" w:cs="宋体"/>
                <w:b w:val="0"/>
                <w:bCs w:val="0"/>
                <w:color w:val="000000"/>
                <w:kern w:val="0"/>
                <w:sz w:val="20"/>
                <w:szCs w:val="20"/>
              </w:rPr>
              <w:t>昆明分行</w:t>
            </w:r>
          </w:p>
        </w:tc>
        <w:tc>
          <w:tcPr>
            <w:tcW w:w="1453" w:type="dxa"/>
            <w:tcBorders>
              <w:top w:val="single" w:color="auto" w:sz="4" w:space="0"/>
              <w:left w:val="nil"/>
              <w:bottom w:val="single" w:color="auto" w:sz="4" w:space="0"/>
              <w:right w:val="single" w:color="auto" w:sz="4" w:space="0"/>
            </w:tcBorders>
            <w:vAlign w:val="center"/>
          </w:tcPr>
          <w:p w14:paraId="7CDDC241">
            <w:pPr>
              <w:widowControl/>
              <w:jc w:val="center"/>
              <w:rPr>
                <w:rFonts w:cs="宋体"/>
                <w:b w:val="0"/>
                <w:bCs w:val="0"/>
                <w:color w:val="000000"/>
                <w:kern w:val="0"/>
                <w:sz w:val="20"/>
                <w:szCs w:val="20"/>
              </w:rPr>
            </w:pPr>
            <w:r>
              <w:rPr>
                <w:rFonts w:hint="eastAsia" w:cs="宋体"/>
                <w:b w:val="0"/>
                <w:bCs w:val="0"/>
                <w:color w:val="000000"/>
                <w:kern w:val="0"/>
                <w:sz w:val="20"/>
                <w:szCs w:val="20"/>
              </w:rPr>
              <w:t>定向培养生</w:t>
            </w:r>
          </w:p>
        </w:tc>
        <w:tc>
          <w:tcPr>
            <w:tcW w:w="5505" w:type="dxa"/>
            <w:tcBorders>
              <w:top w:val="single" w:color="auto" w:sz="4" w:space="0"/>
              <w:left w:val="nil"/>
              <w:bottom w:val="single" w:color="auto" w:sz="4" w:space="0"/>
              <w:right w:val="single" w:color="auto" w:sz="4" w:space="0"/>
            </w:tcBorders>
            <w:vAlign w:val="center"/>
          </w:tcPr>
          <w:p w14:paraId="45574329">
            <w:pPr>
              <w:widowControl/>
              <w:jc w:val="left"/>
              <w:rPr>
                <w:rFonts w:cs="宋体"/>
                <w:b w:val="0"/>
                <w:bCs w:val="0"/>
                <w:color w:val="000000"/>
                <w:kern w:val="0"/>
                <w:sz w:val="20"/>
                <w:szCs w:val="20"/>
              </w:rPr>
            </w:pPr>
            <w:r>
              <w:rPr>
                <w:rFonts w:hint="eastAsia" w:cs="宋体"/>
                <w:b w:val="0"/>
                <w:bCs w:val="0"/>
                <w:color w:val="000000"/>
                <w:kern w:val="0"/>
                <w:sz w:val="20"/>
                <w:szCs w:val="20"/>
              </w:rPr>
              <w:t>通过运营管理、公司金融或零售金融等一线岗位轮岗培养后，成长为公司金融、零售金融、风险管理、投资银行等领域的专业人才。</w:t>
            </w:r>
          </w:p>
        </w:tc>
        <w:tc>
          <w:tcPr>
            <w:tcW w:w="2070" w:type="dxa"/>
            <w:vMerge w:val="restart"/>
            <w:tcBorders>
              <w:top w:val="single" w:color="auto" w:sz="4" w:space="0"/>
              <w:left w:val="nil"/>
              <w:bottom w:val="single" w:color="auto" w:sz="4" w:space="0"/>
              <w:right w:val="single" w:color="auto" w:sz="4" w:space="0"/>
            </w:tcBorders>
            <w:vAlign w:val="center"/>
          </w:tcPr>
          <w:p w14:paraId="78A0244C">
            <w:pPr>
              <w:widowControl/>
              <w:jc w:val="center"/>
              <w:rPr>
                <w:rFonts w:cs="宋体"/>
                <w:b w:val="0"/>
                <w:bCs w:val="0"/>
                <w:color w:val="000000"/>
                <w:kern w:val="0"/>
                <w:sz w:val="20"/>
                <w:szCs w:val="20"/>
              </w:rPr>
            </w:pPr>
            <w:r>
              <w:rPr>
                <w:rFonts w:hint="eastAsia" w:cs="宋体"/>
                <w:b w:val="0"/>
                <w:bCs w:val="0"/>
                <w:color w:val="000000"/>
                <w:kern w:val="0"/>
                <w:sz w:val="20"/>
                <w:szCs w:val="20"/>
              </w:rPr>
              <w:t>昆明市</w:t>
            </w:r>
          </w:p>
        </w:tc>
      </w:tr>
      <w:tr w14:paraId="13599E21">
        <w:tblPrEx>
          <w:tblCellMar>
            <w:top w:w="0" w:type="dxa"/>
            <w:left w:w="108" w:type="dxa"/>
            <w:bottom w:w="0" w:type="dxa"/>
            <w:right w:w="108" w:type="dxa"/>
          </w:tblCellMar>
        </w:tblPrEx>
        <w:trPr>
          <w:trHeight w:val="1093" w:hRule="atLeast"/>
        </w:trPr>
        <w:tc>
          <w:tcPr>
            <w:tcW w:w="1029" w:type="dxa"/>
            <w:vMerge w:val="continue"/>
            <w:tcBorders>
              <w:top w:val="single" w:color="auto" w:sz="4" w:space="0"/>
              <w:left w:val="single" w:color="auto" w:sz="4" w:space="0"/>
              <w:right w:val="single" w:color="auto" w:sz="4" w:space="0"/>
            </w:tcBorders>
            <w:vAlign w:val="center"/>
          </w:tcPr>
          <w:p w14:paraId="270BA5E8">
            <w:pPr>
              <w:widowControl/>
              <w:rPr>
                <w:rFonts w:cs="宋体"/>
                <w:b w:val="0"/>
                <w:bCs w:val="0"/>
                <w:color w:val="000000"/>
                <w:kern w:val="0"/>
                <w:sz w:val="20"/>
                <w:szCs w:val="20"/>
              </w:rPr>
            </w:pPr>
          </w:p>
        </w:tc>
        <w:tc>
          <w:tcPr>
            <w:tcW w:w="1453" w:type="dxa"/>
            <w:tcBorders>
              <w:top w:val="single" w:color="auto" w:sz="4" w:space="0"/>
              <w:left w:val="nil"/>
              <w:bottom w:val="single" w:color="auto" w:sz="4" w:space="0"/>
              <w:right w:val="single" w:color="auto" w:sz="4" w:space="0"/>
            </w:tcBorders>
            <w:vAlign w:val="center"/>
          </w:tcPr>
          <w:p w14:paraId="551D4EAA">
            <w:pPr>
              <w:widowControl/>
              <w:jc w:val="center"/>
              <w:rPr>
                <w:rFonts w:cs="宋体"/>
                <w:b w:val="0"/>
                <w:bCs w:val="0"/>
                <w:color w:val="000000"/>
                <w:kern w:val="0"/>
                <w:sz w:val="20"/>
                <w:szCs w:val="20"/>
              </w:rPr>
            </w:pPr>
            <w:r>
              <w:rPr>
                <w:rFonts w:hint="eastAsia" w:cs="宋体"/>
                <w:b w:val="0"/>
                <w:bCs w:val="0"/>
                <w:color w:val="000000"/>
                <w:kern w:val="0"/>
                <w:sz w:val="20"/>
                <w:szCs w:val="20"/>
              </w:rPr>
              <w:t>数字金融岗</w:t>
            </w:r>
          </w:p>
        </w:tc>
        <w:tc>
          <w:tcPr>
            <w:tcW w:w="5505" w:type="dxa"/>
            <w:tcBorders>
              <w:top w:val="single" w:color="auto" w:sz="4" w:space="0"/>
              <w:left w:val="nil"/>
              <w:bottom w:val="single" w:color="auto" w:sz="4" w:space="0"/>
              <w:right w:val="single" w:color="auto" w:sz="4" w:space="0"/>
            </w:tcBorders>
            <w:vAlign w:val="center"/>
          </w:tcPr>
          <w:p w14:paraId="3146A1D7">
            <w:pPr>
              <w:widowControl/>
              <w:jc w:val="left"/>
              <w:rPr>
                <w:rFonts w:cs="宋体"/>
                <w:b w:val="0"/>
                <w:bCs w:val="0"/>
                <w:color w:val="000000"/>
                <w:kern w:val="0"/>
                <w:sz w:val="20"/>
                <w:szCs w:val="20"/>
              </w:rPr>
            </w:pPr>
            <w:r>
              <w:rPr>
                <w:rFonts w:hint="eastAsia" w:cs="宋体"/>
                <w:b w:val="0"/>
                <w:bCs w:val="0"/>
                <w:color w:val="000000"/>
                <w:kern w:val="0"/>
                <w:sz w:val="20"/>
                <w:szCs w:val="20"/>
              </w:rPr>
              <w:t>通过一线轮岗学习、业务培训和岗位培养，主要从事业务数据挖掘与分析、参与数字化产品的营销、实施、推广及运营，成长为复合型的数字金融专家。</w:t>
            </w:r>
          </w:p>
        </w:tc>
        <w:tc>
          <w:tcPr>
            <w:tcW w:w="2070" w:type="dxa"/>
            <w:vMerge w:val="continue"/>
            <w:tcBorders>
              <w:top w:val="single" w:color="auto" w:sz="4" w:space="0"/>
              <w:left w:val="nil"/>
              <w:bottom w:val="single" w:color="auto" w:sz="4" w:space="0"/>
              <w:right w:val="single" w:color="auto" w:sz="4" w:space="0"/>
            </w:tcBorders>
            <w:vAlign w:val="center"/>
          </w:tcPr>
          <w:p w14:paraId="5B6114A9">
            <w:pPr>
              <w:widowControl/>
              <w:jc w:val="center"/>
              <w:rPr>
                <w:rFonts w:cs="宋体"/>
                <w:b w:val="0"/>
                <w:bCs w:val="0"/>
                <w:color w:val="000000"/>
                <w:kern w:val="0"/>
                <w:sz w:val="20"/>
                <w:szCs w:val="20"/>
              </w:rPr>
            </w:pPr>
          </w:p>
        </w:tc>
      </w:tr>
      <w:tr w14:paraId="66639FA4">
        <w:tblPrEx>
          <w:tblCellMar>
            <w:top w:w="0" w:type="dxa"/>
            <w:left w:w="108" w:type="dxa"/>
            <w:bottom w:w="0" w:type="dxa"/>
            <w:right w:w="108" w:type="dxa"/>
          </w:tblCellMar>
        </w:tblPrEx>
        <w:trPr>
          <w:trHeight w:val="1330" w:hRule="atLeast"/>
        </w:trPr>
        <w:tc>
          <w:tcPr>
            <w:tcW w:w="1029" w:type="dxa"/>
            <w:vMerge w:val="continue"/>
            <w:tcBorders>
              <w:left w:val="single" w:color="auto" w:sz="4" w:space="0"/>
              <w:right w:val="single" w:color="auto" w:sz="4" w:space="0"/>
            </w:tcBorders>
            <w:vAlign w:val="center"/>
          </w:tcPr>
          <w:p w14:paraId="6C4A2612">
            <w:pPr>
              <w:widowControl/>
              <w:jc w:val="center"/>
              <w:rPr>
                <w:rFonts w:cs="宋体"/>
                <w:b w:val="0"/>
                <w:bCs w:val="0"/>
                <w:color w:val="000000"/>
                <w:kern w:val="0"/>
                <w:sz w:val="20"/>
                <w:szCs w:val="20"/>
              </w:rPr>
            </w:pPr>
          </w:p>
        </w:tc>
        <w:tc>
          <w:tcPr>
            <w:tcW w:w="1453" w:type="dxa"/>
            <w:tcBorders>
              <w:top w:val="single" w:color="auto" w:sz="4" w:space="0"/>
              <w:left w:val="single" w:color="auto" w:sz="4" w:space="0"/>
              <w:bottom w:val="single" w:color="auto" w:sz="4" w:space="0"/>
              <w:right w:val="single" w:color="auto" w:sz="4" w:space="0"/>
            </w:tcBorders>
            <w:vAlign w:val="center"/>
          </w:tcPr>
          <w:p w14:paraId="152B7E4F">
            <w:pPr>
              <w:widowControl/>
              <w:jc w:val="center"/>
              <w:rPr>
                <w:rFonts w:cs="宋体"/>
                <w:b w:val="0"/>
                <w:bCs w:val="0"/>
                <w:color w:val="000000"/>
                <w:kern w:val="0"/>
                <w:sz w:val="20"/>
                <w:szCs w:val="20"/>
              </w:rPr>
            </w:pPr>
            <w:r>
              <w:rPr>
                <w:rFonts w:hint="eastAsia" w:cs="宋体"/>
                <w:b w:val="0"/>
                <w:bCs w:val="0"/>
                <w:color w:val="000000"/>
                <w:kern w:val="0"/>
                <w:sz w:val="20"/>
                <w:szCs w:val="20"/>
              </w:rPr>
              <w:t>市场营销岗</w:t>
            </w:r>
          </w:p>
        </w:tc>
        <w:tc>
          <w:tcPr>
            <w:tcW w:w="5505" w:type="dxa"/>
            <w:tcBorders>
              <w:top w:val="single" w:color="auto" w:sz="4" w:space="0"/>
              <w:left w:val="nil"/>
              <w:bottom w:val="single" w:color="auto" w:sz="4" w:space="0"/>
              <w:right w:val="single" w:color="auto" w:sz="4" w:space="0"/>
            </w:tcBorders>
            <w:vAlign w:val="center"/>
          </w:tcPr>
          <w:p w14:paraId="63F3C06C">
            <w:pPr>
              <w:widowControl/>
              <w:jc w:val="left"/>
              <w:rPr>
                <w:rFonts w:cs="宋体"/>
                <w:b w:val="0"/>
                <w:bCs w:val="0"/>
                <w:color w:val="000000"/>
                <w:kern w:val="0"/>
                <w:sz w:val="20"/>
                <w:szCs w:val="20"/>
              </w:rPr>
            </w:pPr>
            <w:r>
              <w:rPr>
                <w:rFonts w:hint="eastAsia" w:cs="宋体"/>
                <w:b w:val="0"/>
                <w:bCs w:val="0"/>
                <w:color w:val="000000"/>
                <w:kern w:val="0"/>
                <w:sz w:val="20"/>
                <w:szCs w:val="20"/>
              </w:rPr>
              <w:t>主要从事个人或企业客户的维护、营销、拓展工作，挖掘客户需求，为客户提供产品咨询、资产配置、金融解决方案等服务，成长为精通银行业务的专业人才。原则上需在运营柜台进行为期一年的轮岗培养。</w:t>
            </w:r>
          </w:p>
        </w:tc>
        <w:tc>
          <w:tcPr>
            <w:tcW w:w="2070" w:type="dxa"/>
            <w:vMerge w:val="continue"/>
            <w:tcBorders>
              <w:top w:val="single" w:color="auto" w:sz="4" w:space="0"/>
              <w:left w:val="nil"/>
              <w:right w:val="single" w:color="auto" w:sz="4" w:space="0"/>
            </w:tcBorders>
            <w:vAlign w:val="center"/>
          </w:tcPr>
          <w:p w14:paraId="2318D98E">
            <w:pPr>
              <w:widowControl/>
              <w:jc w:val="center"/>
              <w:rPr>
                <w:rFonts w:cs="宋体"/>
                <w:b w:val="0"/>
                <w:bCs w:val="0"/>
                <w:color w:val="000000"/>
                <w:kern w:val="0"/>
                <w:sz w:val="20"/>
                <w:szCs w:val="20"/>
              </w:rPr>
            </w:pPr>
          </w:p>
        </w:tc>
      </w:tr>
      <w:tr w14:paraId="3E4AF706">
        <w:tblPrEx>
          <w:tblCellMar>
            <w:top w:w="0" w:type="dxa"/>
            <w:left w:w="108" w:type="dxa"/>
            <w:bottom w:w="0" w:type="dxa"/>
            <w:right w:w="108" w:type="dxa"/>
          </w:tblCellMar>
        </w:tblPrEx>
        <w:trPr>
          <w:trHeight w:val="271" w:hRule="atLeast"/>
        </w:trPr>
        <w:tc>
          <w:tcPr>
            <w:tcW w:w="1029" w:type="dxa"/>
            <w:vMerge w:val="continue"/>
            <w:tcBorders>
              <w:left w:val="single" w:color="auto" w:sz="4" w:space="0"/>
              <w:bottom w:val="single" w:color="auto" w:sz="4" w:space="0"/>
              <w:right w:val="single" w:color="auto" w:sz="4" w:space="0"/>
            </w:tcBorders>
            <w:vAlign w:val="center"/>
          </w:tcPr>
          <w:p w14:paraId="193F5582">
            <w:pPr>
              <w:widowControl/>
              <w:jc w:val="left"/>
              <w:rPr>
                <w:rFonts w:cs="宋体"/>
                <w:b w:val="0"/>
                <w:bCs w:val="0"/>
                <w:color w:val="000000"/>
                <w:kern w:val="0"/>
                <w:sz w:val="20"/>
                <w:szCs w:val="20"/>
              </w:rPr>
            </w:pPr>
          </w:p>
        </w:tc>
        <w:tc>
          <w:tcPr>
            <w:tcW w:w="1453" w:type="dxa"/>
            <w:tcBorders>
              <w:top w:val="nil"/>
              <w:left w:val="single" w:color="auto" w:sz="4" w:space="0"/>
              <w:bottom w:val="single" w:color="000000" w:sz="4" w:space="0"/>
              <w:right w:val="single" w:color="auto" w:sz="4" w:space="0"/>
            </w:tcBorders>
            <w:vAlign w:val="center"/>
          </w:tcPr>
          <w:p w14:paraId="08BDAA8B">
            <w:pPr>
              <w:widowControl/>
              <w:jc w:val="center"/>
              <w:rPr>
                <w:rFonts w:cs="宋体"/>
                <w:b w:val="0"/>
                <w:bCs w:val="0"/>
                <w:color w:val="000000"/>
                <w:kern w:val="0"/>
                <w:sz w:val="20"/>
                <w:szCs w:val="20"/>
              </w:rPr>
            </w:pPr>
            <w:r>
              <w:rPr>
                <w:rFonts w:hint="eastAsia" w:cs="宋体"/>
                <w:b w:val="0"/>
                <w:bCs w:val="0"/>
                <w:color w:val="000000"/>
                <w:kern w:val="0"/>
                <w:sz w:val="20"/>
                <w:szCs w:val="20"/>
              </w:rPr>
              <w:t>运营柜员岗</w:t>
            </w:r>
          </w:p>
        </w:tc>
        <w:tc>
          <w:tcPr>
            <w:tcW w:w="5505" w:type="dxa"/>
            <w:tcBorders>
              <w:top w:val="nil"/>
              <w:left w:val="single" w:color="auto" w:sz="4" w:space="0"/>
              <w:bottom w:val="single" w:color="000000" w:sz="4" w:space="0"/>
              <w:right w:val="single" w:color="auto" w:sz="4" w:space="0"/>
            </w:tcBorders>
            <w:vAlign w:val="center"/>
          </w:tcPr>
          <w:p w14:paraId="5EF7BA08">
            <w:pPr>
              <w:widowControl/>
              <w:jc w:val="left"/>
              <w:rPr>
                <w:rFonts w:cs="宋体"/>
                <w:b w:val="0"/>
                <w:bCs w:val="0"/>
                <w:color w:val="000000"/>
                <w:kern w:val="0"/>
                <w:sz w:val="20"/>
                <w:szCs w:val="20"/>
              </w:rPr>
            </w:pPr>
            <w:r>
              <w:rPr>
                <w:rFonts w:hint="eastAsia" w:cs="宋体"/>
                <w:b w:val="0"/>
                <w:bCs w:val="0"/>
                <w:color w:val="000000"/>
                <w:kern w:val="0"/>
                <w:sz w:val="20"/>
                <w:szCs w:val="20"/>
              </w:rPr>
              <w:t>从事柜面运营结算等工作，对接公司、零售等业务需求，提供运营支持服务，成长为运营业务专业人才。原则上需在柜面运营结算业务培养至少三年，后续可根据个人综合表现情况及意愿，转岗至其他业务岗位。</w:t>
            </w:r>
          </w:p>
        </w:tc>
        <w:tc>
          <w:tcPr>
            <w:tcW w:w="2070" w:type="dxa"/>
            <w:vMerge w:val="continue"/>
            <w:tcBorders>
              <w:left w:val="nil"/>
              <w:bottom w:val="single" w:color="000000" w:sz="4" w:space="0"/>
              <w:right w:val="single" w:color="auto" w:sz="4" w:space="0"/>
            </w:tcBorders>
            <w:vAlign w:val="center"/>
          </w:tcPr>
          <w:p w14:paraId="549D1040">
            <w:pPr>
              <w:widowControl/>
              <w:jc w:val="center"/>
              <w:rPr>
                <w:rFonts w:cs="宋体"/>
                <w:b w:val="0"/>
                <w:bCs w:val="0"/>
                <w:color w:val="000000"/>
                <w:kern w:val="0"/>
                <w:sz w:val="20"/>
                <w:szCs w:val="20"/>
              </w:rPr>
            </w:pPr>
          </w:p>
        </w:tc>
      </w:tr>
      <w:tr w14:paraId="5A821014">
        <w:tblPrEx>
          <w:tblCellMar>
            <w:top w:w="0" w:type="dxa"/>
            <w:left w:w="108" w:type="dxa"/>
            <w:bottom w:w="0" w:type="dxa"/>
            <w:right w:w="108" w:type="dxa"/>
          </w:tblCellMar>
        </w:tblPrEx>
        <w:trPr>
          <w:trHeight w:val="630" w:hRule="atLeast"/>
        </w:trPr>
        <w:tc>
          <w:tcPr>
            <w:tcW w:w="1029" w:type="dxa"/>
            <w:tcBorders>
              <w:top w:val="single" w:color="auto" w:sz="4" w:space="0"/>
              <w:left w:val="single" w:color="auto" w:sz="4" w:space="0"/>
              <w:bottom w:val="single" w:color="auto" w:sz="4" w:space="0"/>
              <w:right w:val="single" w:color="auto" w:sz="4" w:space="0"/>
            </w:tcBorders>
            <w:vAlign w:val="center"/>
          </w:tcPr>
          <w:p w14:paraId="5EC2D20F">
            <w:pPr>
              <w:widowControl/>
              <w:jc w:val="center"/>
              <w:rPr>
                <w:rFonts w:cs="宋体"/>
                <w:b w:val="0"/>
                <w:bCs w:val="0"/>
                <w:color w:val="000000"/>
                <w:kern w:val="0"/>
                <w:sz w:val="20"/>
                <w:szCs w:val="20"/>
              </w:rPr>
            </w:pPr>
            <w:r>
              <w:rPr>
                <w:rFonts w:hint="eastAsia" w:cs="宋体"/>
                <w:b w:val="0"/>
                <w:bCs w:val="0"/>
                <w:color w:val="000000"/>
                <w:kern w:val="0"/>
                <w:sz w:val="20"/>
                <w:szCs w:val="20"/>
              </w:rPr>
              <w:t>曲靖分行</w:t>
            </w:r>
          </w:p>
        </w:tc>
        <w:tc>
          <w:tcPr>
            <w:tcW w:w="1453" w:type="dxa"/>
            <w:tcBorders>
              <w:top w:val="nil"/>
              <w:left w:val="single" w:color="auto" w:sz="4" w:space="0"/>
              <w:bottom w:val="single" w:color="auto" w:sz="4" w:space="0"/>
              <w:right w:val="single" w:color="auto" w:sz="4" w:space="0"/>
            </w:tcBorders>
            <w:vAlign w:val="center"/>
          </w:tcPr>
          <w:p w14:paraId="68D0B459">
            <w:pPr>
              <w:widowControl/>
              <w:jc w:val="center"/>
              <w:rPr>
                <w:rFonts w:cs="宋体"/>
                <w:b w:val="0"/>
                <w:bCs w:val="0"/>
                <w:color w:val="000000"/>
                <w:kern w:val="0"/>
                <w:sz w:val="20"/>
                <w:szCs w:val="20"/>
              </w:rPr>
            </w:pPr>
            <w:r>
              <w:rPr>
                <w:rFonts w:hint="eastAsia" w:cs="宋体"/>
                <w:b w:val="0"/>
                <w:bCs w:val="0"/>
                <w:color w:val="000000"/>
                <w:kern w:val="0"/>
                <w:sz w:val="20"/>
                <w:szCs w:val="20"/>
              </w:rPr>
              <w:t>综合培养生（曲靖分行）</w:t>
            </w:r>
          </w:p>
        </w:tc>
        <w:tc>
          <w:tcPr>
            <w:tcW w:w="5505" w:type="dxa"/>
            <w:vMerge w:val="restart"/>
            <w:tcBorders>
              <w:top w:val="nil"/>
              <w:left w:val="nil"/>
              <w:right w:val="single" w:color="auto" w:sz="4" w:space="0"/>
            </w:tcBorders>
            <w:vAlign w:val="center"/>
          </w:tcPr>
          <w:p w14:paraId="2993F02E">
            <w:pPr>
              <w:widowControl/>
              <w:jc w:val="left"/>
              <w:rPr>
                <w:rFonts w:cs="宋体"/>
                <w:b w:val="0"/>
                <w:bCs w:val="0"/>
                <w:color w:val="000000"/>
                <w:kern w:val="0"/>
                <w:sz w:val="20"/>
                <w:szCs w:val="20"/>
              </w:rPr>
            </w:pPr>
            <w:r>
              <w:rPr>
                <w:rFonts w:hint="eastAsia" w:cs="宋体"/>
                <w:b w:val="0"/>
                <w:bCs w:val="0"/>
                <w:color w:val="000000"/>
                <w:kern w:val="0"/>
                <w:sz w:val="20"/>
                <w:szCs w:val="20"/>
              </w:rPr>
              <w:t>经过系统培训，从事各类银行业务营销或运营支持工作，成长为二级分行的专业人才。</w:t>
            </w:r>
          </w:p>
        </w:tc>
        <w:tc>
          <w:tcPr>
            <w:tcW w:w="2070" w:type="dxa"/>
            <w:tcBorders>
              <w:top w:val="nil"/>
              <w:left w:val="nil"/>
              <w:bottom w:val="single" w:color="auto" w:sz="4" w:space="0"/>
              <w:right w:val="single" w:color="auto" w:sz="4" w:space="0"/>
            </w:tcBorders>
            <w:vAlign w:val="center"/>
          </w:tcPr>
          <w:p w14:paraId="13A9CEFB">
            <w:pPr>
              <w:widowControl/>
              <w:jc w:val="center"/>
              <w:rPr>
                <w:rFonts w:cs="宋体"/>
                <w:b w:val="0"/>
                <w:bCs w:val="0"/>
                <w:color w:val="000000"/>
                <w:kern w:val="0"/>
                <w:sz w:val="20"/>
                <w:szCs w:val="20"/>
              </w:rPr>
            </w:pPr>
            <w:r>
              <w:rPr>
                <w:rFonts w:hint="eastAsia" w:cs="宋体"/>
                <w:b w:val="0"/>
                <w:bCs w:val="0"/>
                <w:color w:val="000000"/>
                <w:kern w:val="0"/>
                <w:sz w:val="20"/>
                <w:szCs w:val="20"/>
              </w:rPr>
              <w:t>曲靖市</w:t>
            </w:r>
          </w:p>
        </w:tc>
      </w:tr>
      <w:tr w14:paraId="4AFA82CB">
        <w:tblPrEx>
          <w:tblCellMar>
            <w:top w:w="0" w:type="dxa"/>
            <w:left w:w="108" w:type="dxa"/>
            <w:bottom w:w="0" w:type="dxa"/>
            <w:right w:w="108" w:type="dxa"/>
          </w:tblCellMar>
        </w:tblPrEx>
        <w:trPr>
          <w:trHeight w:val="692" w:hRule="atLeast"/>
        </w:trPr>
        <w:tc>
          <w:tcPr>
            <w:tcW w:w="1029" w:type="dxa"/>
            <w:tcBorders>
              <w:top w:val="single" w:color="auto" w:sz="4" w:space="0"/>
              <w:left w:val="single" w:color="auto" w:sz="4" w:space="0"/>
              <w:bottom w:val="single" w:color="auto" w:sz="4" w:space="0"/>
              <w:right w:val="single" w:color="auto" w:sz="4" w:space="0"/>
            </w:tcBorders>
            <w:vAlign w:val="center"/>
          </w:tcPr>
          <w:p w14:paraId="289A63FD">
            <w:pPr>
              <w:widowControl/>
              <w:jc w:val="center"/>
              <w:rPr>
                <w:rFonts w:cs="宋体"/>
                <w:b w:val="0"/>
                <w:bCs w:val="0"/>
                <w:color w:val="000000"/>
                <w:kern w:val="0"/>
                <w:sz w:val="20"/>
                <w:szCs w:val="20"/>
              </w:rPr>
            </w:pPr>
            <w:r>
              <w:rPr>
                <w:rFonts w:hint="eastAsia" w:cs="宋体"/>
                <w:b w:val="0"/>
                <w:bCs w:val="0"/>
                <w:color w:val="000000"/>
                <w:kern w:val="0"/>
                <w:sz w:val="20"/>
                <w:szCs w:val="20"/>
              </w:rPr>
              <w:t>丽江分行</w:t>
            </w:r>
          </w:p>
        </w:tc>
        <w:tc>
          <w:tcPr>
            <w:tcW w:w="1453" w:type="dxa"/>
            <w:tcBorders>
              <w:top w:val="nil"/>
              <w:left w:val="single" w:color="auto" w:sz="4" w:space="0"/>
              <w:bottom w:val="single" w:color="auto" w:sz="4" w:space="0"/>
              <w:right w:val="single" w:color="auto" w:sz="4" w:space="0"/>
            </w:tcBorders>
            <w:vAlign w:val="center"/>
          </w:tcPr>
          <w:p w14:paraId="48B94F8C">
            <w:pPr>
              <w:widowControl/>
              <w:jc w:val="center"/>
              <w:rPr>
                <w:rFonts w:cs="宋体"/>
                <w:b w:val="0"/>
                <w:bCs w:val="0"/>
                <w:color w:val="000000"/>
                <w:kern w:val="0"/>
                <w:sz w:val="20"/>
                <w:szCs w:val="20"/>
              </w:rPr>
            </w:pPr>
            <w:r>
              <w:rPr>
                <w:rFonts w:hint="eastAsia" w:cs="宋体"/>
                <w:b w:val="0"/>
                <w:bCs w:val="0"/>
                <w:color w:val="000000"/>
                <w:kern w:val="0"/>
                <w:sz w:val="20"/>
                <w:szCs w:val="20"/>
              </w:rPr>
              <w:t>综合培养生</w:t>
            </w:r>
            <w:r>
              <w:rPr>
                <w:rFonts w:hint="eastAsia" w:cs="宋体"/>
                <w:b w:val="0"/>
                <w:bCs w:val="0"/>
                <w:color w:val="000000"/>
                <w:kern w:val="0"/>
                <w:sz w:val="20"/>
                <w:szCs w:val="20"/>
                <w:lang w:eastAsia="zh-Hans"/>
              </w:rPr>
              <w:t>（丽江分行）</w:t>
            </w:r>
          </w:p>
        </w:tc>
        <w:tc>
          <w:tcPr>
            <w:tcW w:w="5505" w:type="dxa"/>
            <w:vMerge w:val="continue"/>
            <w:tcBorders>
              <w:left w:val="nil"/>
              <w:right w:val="single" w:color="auto" w:sz="4" w:space="0"/>
            </w:tcBorders>
            <w:vAlign w:val="center"/>
          </w:tcPr>
          <w:p w14:paraId="56AAB593">
            <w:pPr>
              <w:widowControl/>
              <w:jc w:val="left"/>
              <w:rPr>
                <w:rFonts w:cs="宋体"/>
                <w:b w:val="0"/>
                <w:bCs w:val="0"/>
                <w:color w:val="000000"/>
                <w:kern w:val="0"/>
                <w:sz w:val="20"/>
                <w:szCs w:val="20"/>
              </w:rPr>
            </w:pPr>
          </w:p>
        </w:tc>
        <w:tc>
          <w:tcPr>
            <w:tcW w:w="2070" w:type="dxa"/>
            <w:tcBorders>
              <w:top w:val="nil"/>
              <w:left w:val="nil"/>
              <w:bottom w:val="single" w:color="auto" w:sz="4" w:space="0"/>
              <w:right w:val="single" w:color="auto" w:sz="4" w:space="0"/>
            </w:tcBorders>
            <w:vAlign w:val="center"/>
          </w:tcPr>
          <w:p w14:paraId="121CABEE">
            <w:pPr>
              <w:widowControl/>
              <w:jc w:val="center"/>
              <w:rPr>
                <w:rFonts w:cs="宋体"/>
                <w:b w:val="0"/>
                <w:bCs w:val="0"/>
                <w:color w:val="000000"/>
                <w:kern w:val="0"/>
                <w:sz w:val="20"/>
                <w:szCs w:val="20"/>
              </w:rPr>
            </w:pPr>
            <w:r>
              <w:rPr>
                <w:rFonts w:hint="eastAsia" w:cs="宋体"/>
                <w:b w:val="0"/>
                <w:bCs w:val="0"/>
                <w:color w:val="000000"/>
                <w:kern w:val="0"/>
                <w:sz w:val="20"/>
                <w:szCs w:val="20"/>
              </w:rPr>
              <w:t>丽江市</w:t>
            </w:r>
          </w:p>
        </w:tc>
      </w:tr>
      <w:tr w14:paraId="61825B77">
        <w:tblPrEx>
          <w:tblCellMar>
            <w:top w:w="0" w:type="dxa"/>
            <w:left w:w="108" w:type="dxa"/>
            <w:bottom w:w="0" w:type="dxa"/>
            <w:right w:w="108" w:type="dxa"/>
          </w:tblCellMar>
        </w:tblPrEx>
        <w:trPr>
          <w:trHeight w:val="571" w:hRule="atLeast"/>
        </w:trPr>
        <w:tc>
          <w:tcPr>
            <w:tcW w:w="1029" w:type="dxa"/>
            <w:tcBorders>
              <w:top w:val="single" w:color="auto" w:sz="4" w:space="0"/>
              <w:left w:val="single" w:color="auto" w:sz="4" w:space="0"/>
              <w:bottom w:val="single" w:color="auto" w:sz="4" w:space="0"/>
              <w:right w:val="single" w:color="auto" w:sz="4" w:space="0"/>
            </w:tcBorders>
            <w:vAlign w:val="center"/>
          </w:tcPr>
          <w:p w14:paraId="6EDD1864">
            <w:pPr>
              <w:widowControl/>
              <w:jc w:val="center"/>
              <w:rPr>
                <w:rFonts w:cs="宋体"/>
                <w:b w:val="0"/>
                <w:bCs w:val="0"/>
                <w:color w:val="000000"/>
                <w:kern w:val="0"/>
                <w:sz w:val="20"/>
                <w:szCs w:val="20"/>
              </w:rPr>
            </w:pPr>
            <w:r>
              <w:rPr>
                <w:rFonts w:hint="eastAsia" w:cs="宋体"/>
                <w:b w:val="0"/>
                <w:bCs w:val="0"/>
                <w:color w:val="000000"/>
                <w:kern w:val="0"/>
                <w:sz w:val="20"/>
                <w:szCs w:val="20"/>
              </w:rPr>
              <w:t>红河分行</w:t>
            </w:r>
          </w:p>
        </w:tc>
        <w:tc>
          <w:tcPr>
            <w:tcW w:w="1453" w:type="dxa"/>
            <w:tcBorders>
              <w:top w:val="single" w:color="auto" w:sz="4" w:space="0"/>
              <w:left w:val="single" w:color="auto" w:sz="4" w:space="0"/>
              <w:bottom w:val="single" w:color="auto" w:sz="4" w:space="0"/>
              <w:right w:val="single" w:color="auto" w:sz="4" w:space="0"/>
            </w:tcBorders>
            <w:vAlign w:val="center"/>
          </w:tcPr>
          <w:p w14:paraId="1BDB4360">
            <w:pPr>
              <w:widowControl/>
              <w:jc w:val="center"/>
              <w:rPr>
                <w:rFonts w:cs="宋体"/>
                <w:b w:val="0"/>
                <w:bCs w:val="0"/>
                <w:color w:val="000000"/>
                <w:kern w:val="0"/>
                <w:sz w:val="20"/>
                <w:szCs w:val="20"/>
              </w:rPr>
            </w:pPr>
            <w:r>
              <w:rPr>
                <w:rFonts w:hint="eastAsia" w:cs="宋体"/>
                <w:b w:val="0"/>
                <w:bCs w:val="0"/>
                <w:color w:val="000000"/>
                <w:kern w:val="0"/>
                <w:sz w:val="20"/>
                <w:szCs w:val="20"/>
              </w:rPr>
              <w:t>综合培养生（红河分行）</w:t>
            </w:r>
          </w:p>
        </w:tc>
        <w:tc>
          <w:tcPr>
            <w:tcW w:w="5505" w:type="dxa"/>
            <w:vMerge w:val="continue"/>
            <w:tcBorders>
              <w:left w:val="nil"/>
              <w:bottom w:val="single" w:color="auto" w:sz="4" w:space="0"/>
              <w:right w:val="single" w:color="auto" w:sz="4" w:space="0"/>
            </w:tcBorders>
            <w:vAlign w:val="center"/>
          </w:tcPr>
          <w:p w14:paraId="3F37966E">
            <w:pPr>
              <w:widowControl/>
              <w:jc w:val="left"/>
              <w:rPr>
                <w:rFonts w:cs="宋体"/>
                <w:b w:val="0"/>
                <w:bCs w:val="0"/>
                <w:color w:val="000000"/>
                <w:kern w:val="0"/>
                <w:sz w:val="20"/>
                <w:szCs w:val="20"/>
              </w:rPr>
            </w:pPr>
          </w:p>
        </w:tc>
        <w:tc>
          <w:tcPr>
            <w:tcW w:w="2070" w:type="dxa"/>
            <w:tcBorders>
              <w:top w:val="nil"/>
              <w:left w:val="nil"/>
              <w:bottom w:val="single" w:color="auto" w:sz="4" w:space="0"/>
              <w:right w:val="single" w:color="auto" w:sz="4" w:space="0"/>
            </w:tcBorders>
            <w:vAlign w:val="center"/>
          </w:tcPr>
          <w:p w14:paraId="636C7EFA">
            <w:pPr>
              <w:widowControl/>
              <w:jc w:val="center"/>
              <w:rPr>
                <w:rFonts w:cs="宋体"/>
                <w:b w:val="0"/>
                <w:bCs w:val="0"/>
                <w:color w:val="000000"/>
                <w:kern w:val="0"/>
                <w:sz w:val="20"/>
                <w:szCs w:val="20"/>
              </w:rPr>
            </w:pPr>
            <w:r>
              <w:rPr>
                <w:rFonts w:hint="eastAsia" w:cs="宋体"/>
                <w:b w:val="0"/>
                <w:bCs w:val="0"/>
                <w:color w:val="000000"/>
                <w:kern w:val="0"/>
                <w:sz w:val="20"/>
                <w:szCs w:val="20"/>
              </w:rPr>
              <w:t>红河州（蒙自、个旧、建水）</w:t>
            </w:r>
          </w:p>
        </w:tc>
      </w:tr>
    </w:tbl>
    <w:p w14:paraId="4B265B72">
      <w:pPr>
        <w:spacing w:line="580" w:lineRule="exact"/>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二、招聘要求</w:t>
      </w:r>
    </w:p>
    <w:p w14:paraId="41E0C929">
      <w:pPr>
        <w:spacing w:line="58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（一）本科及以上学历（定向培养生、数字金融岗要求研究生及以上学历）。</w:t>
      </w:r>
      <w:r>
        <w:rPr>
          <w:rFonts w:hint="eastAsia" w:ascii="仿宋" w:hAnsi="仿宋" w:eastAsia="仿宋" w:cs="宋体"/>
          <w:color w:val="000000"/>
          <w:kern w:val="0"/>
          <w:sz w:val="28"/>
          <w:szCs w:val="28"/>
          <w:lang w:eastAsia="zh-Hans"/>
        </w:rPr>
        <w:t>境内</w:t>
      </w:r>
      <w:r>
        <w:rPr>
          <w:rFonts w:hint="eastAsia" w:ascii="仿宋" w:hAnsi="仿宋" w:eastAsia="仿宋" w:cs="宋体"/>
          <w:color w:val="000000"/>
          <w:kern w:val="0"/>
          <w:sz w:val="28"/>
          <w:szCs w:val="28"/>
        </w:rPr>
        <w:t>院校2025年应届毕业生，应于2025年7月31日前毕业，取得毕业证、学位证；</w:t>
      </w:r>
      <w:r>
        <w:rPr>
          <w:rFonts w:hint="eastAsia" w:ascii="仿宋" w:hAnsi="仿宋" w:eastAsia="仿宋" w:cs="宋体"/>
          <w:color w:val="000000"/>
          <w:kern w:val="0"/>
          <w:sz w:val="28"/>
          <w:szCs w:val="28"/>
          <w:lang w:eastAsia="zh-Hans"/>
        </w:rPr>
        <w:t>境外</w:t>
      </w:r>
      <w:r>
        <w:rPr>
          <w:rFonts w:hint="eastAsia" w:ascii="仿宋" w:hAnsi="仿宋" w:eastAsia="仿宋" w:cs="宋体"/>
          <w:color w:val="000000"/>
          <w:kern w:val="0"/>
          <w:sz w:val="28"/>
          <w:szCs w:val="28"/>
        </w:rPr>
        <w:t>院校应届毕业生，应于2024年1月至2025年7月间毕业，并于2025年7月前获得学历（学位）证书及国家教育部留学服务中心颁发的学历学位认证。</w:t>
      </w:r>
    </w:p>
    <w:p w14:paraId="2DFB78B6">
      <w:pPr>
        <w:spacing w:line="58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（二）本科生须达到大学英语四级分数425分（含）以上水平，研究生须达到大学英语六级分数4</w:t>
      </w:r>
      <w:r>
        <w:rPr>
          <w:rFonts w:ascii="仿宋" w:hAnsi="仿宋" w:eastAsia="仿宋" w:cs="宋体"/>
          <w:color w:val="000000"/>
          <w:kern w:val="0"/>
          <w:sz w:val="28"/>
          <w:szCs w:val="28"/>
        </w:rPr>
        <w:t>25</w:t>
      </w:r>
      <w:r>
        <w:rPr>
          <w:rFonts w:hint="eastAsia" w:ascii="仿宋" w:hAnsi="仿宋" w:eastAsia="仿宋" w:cs="宋体"/>
          <w:color w:val="000000"/>
          <w:kern w:val="0"/>
          <w:sz w:val="28"/>
          <w:szCs w:val="28"/>
        </w:rPr>
        <w:t>分（含）以上水平。如未有大学英语四、六级成绩，可用其他同等英语考试成绩代替，本科生须达到雅思5.5分（含）以上或托福70分（含）以上水平，研究生须达到雅思6分（含）以上或托福80分（含）以上水平。</w:t>
      </w:r>
    </w:p>
    <w:p w14:paraId="5265C4BD">
      <w:pPr>
        <w:spacing w:line="58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（三）诚实守信，性格开朗，身体健康，无不良行为记录。</w:t>
      </w:r>
    </w:p>
    <w:p w14:paraId="108D755D">
      <w:pPr>
        <w:spacing w:line="580" w:lineRule="exact"/>
        <w:ind w:firstLine="560" w:firstLineChars="200"/>
        <w:rPr>
          <w:rFonts w:ascii="仿宋" w:hAnsi="仿宋" w:eastAsia="仿宋" w:cs="仿宋"/>
          <w:b/>
          <w:kern w:val="0"/>
          <w:sz w:val="28"/>
          <w:szCs w:val="28"/>
        </w:rPr>
      </w:pPr>
      <w:r>
        <w:rPr>
          <w:rFonts w:hint="eastAsia" w:ascii="仿宋" w:hAnsi="仿宋" w:eastAsia="仿宋" w:cs="宋体"/>
          <w:color w:val="000000"/>
          <w:kern w:val="0"/>
          <w:sz w:val="28"/>
          <w:szCs w:val="28"/>
        </w:rPr>
        <w:t>（四）具有较强的责任心、学习能力和良好的团队协作精神，能承受较大的工作压力，具有良好的书面及口头表达能力。</w:t>
      </w:r>
    </w:p>
    <w:p w14:paraId="18793506">
      <w:pPr>
        <w:spacing w:line="580" w:lineRule="exact"/>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三、招聘流程</w:t>
      </w:r>
    </w:p>
    <w:p w14:paraId="6AB3FCF0">
      <w:pPr>
        <w:widowControl/>
        <w:rPr>
          <w:rFonts w:ascii="仿宋" w:hAnsi="仿宋" w:eastAsia="仿宋" w:cs="仿宋"/>
          <w:b/>
          <w:kern w:val="0"/>
          <w:sz w:val="28"/>
          <w:szCs w:val="28"/>
        </w:rPr>
      </w:pPr>
      <w:r>
        <w:rPr>
          <w:rFonts w:ascii="仿宋" w:hAnsi="仿宋" w:eastAsia="仿宋" w:cs="仿宋"/>
          <w:b/>
          <w:kern w:val="0"/>
          <w:sz w:val="28"/>
          <w:szCs w:val="28"/>
        </w:rPr>
        <w:drawing>
          <wp:inline distT="0" distB="0" distL="114300" distR="114300">
            <wp:extent cx="6667500" cy="998855"/>
            <wp:effectExtent l="19050" t="0" r="38100" b="0"/>
            <wp:docPr id="1" name="图示 4"/>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1EAE735F">
      <w:pPr>
        <w:widowControl/>
        <w:spacing w:line="360" w:lineRule="auto"/>
        <w:rPr>
          <w:rFonts w:ascii="仿宋" w:hAnsi="仿宋" w:eastAsia="仿宋" w:cs="仿宋"/>
          <w:kern w:val="0"/>
          <w:sz w:val="22"/>
          <w:szCs w:val="21"/>
        </w:rPr>
      </w:pPr>
      <w:r>
        <w:rPr>
          <w:rFonts w:hint="eastAsia" w:ascii="仿宋" w:hAnsi="仿宋" w:eastAsia="仿宋" w:cs="仿宋"/>
          <w:b/>
          <w:kern w:val="0"/>
          <w:sz w:val="22"/>
          <w:szCs w:val="21"/>
        </w:rPr>
        <w:t>注：可根据实际情况调整</w:t>
      </w:r>
    </w:p>
    <w:p w14:paraId="58A86139">
      <w:pPr>
        <w:widowControl/>
        <w:spacing w:line="360" w:lineRule="auto"/>
        <w:rPr>
          <w:rFonts w:ascii="仿宋" w:hAnsi="仿宋" w:eastAsia="仿宋" w:cs="仿宋"/>
          <w:color w:val="FF0000"/>
          <w:kern w:val="0"/>
          <w:sz w:val="28"/>
          <w:szCs w:val="28"/>
        </w:rPr>
      </w:pPr>
      <w:r>
        <w:rPr>
          <w:rFonts w:hint="eastAsia" w:ascii="仿宋" w:hAnsi="仿宋" w:eastAsia="仿宋" w:cs="仿宋"/>
          <w:kern w:val="0"/>
          <w:sz w:val="28"/>
          <w:szCs w:val="28"/>
        </w:rPr>
        <w:t xml:space="preserve"> </w:t>
      </w:r>
      <w:r>
        <w:rPr>
          <w:rFonts w:ascii="仿宋" w:hAnsi="仿宋" w:eastAsia="仿宋" w:cs="仿宋"/>
          <w:kern w:val="0"/>
          <w:sz w:val="28"/>
          <w:szCs w:val="28"/>
        </w:rPr>
        <w:t xml:space="preserve">   </w:t>
      </w:r>
      <w:r>
        <w:rPr>
          <w:rFonts w:hint="eastAsia" w:ascii="仿宋" w:hAnsi="仿宋" w:eastAsia="仿宋" w:cs="仿宋"/>
          <w:kern w:val="0"/>
          <w:sz w:val="28"/>
          <w:szCs w:val="28"/>
        </w:rPr>
        <w:t>（一）</w:t>
      </w:r>
      <w:r>
        <w:rPr>
          <w:rFonts w:hint="eastAsia" w:ascii="仿宋" w:hAnsi="仿宋" w:eastAsia="仿宋" w:cs="仿宋"/>
          <w:bCs/>
          <w:kern w:val="0"/>
          <w:sz w:val="28"/>
          <w:szCs w:val="28"/>
        </w:rPr>
        <w:t>简历投递：即日起开始简历在线投递</w:t>
      </w:r>
      <w:r>
        <w:rPr>
          <w:rFonts w:hint="eastAsia" w:ascii="仿宋" w:hAnsi="仿宋" w:eastAsia="仿宋" w:cs="仿宋"/>
          <w:kern w:val="0"/>
          <w:sz w:val="28"/>
          <w:szCs w:val="28"/>
        </w:rPr>
        <w:t>，</w:t>
      </w:r>
      <w:r>
        <w:rPr>
          <w:rFonts w:hint="eastAsia" w:ascii="仿宋" w:hAnsi="仿宋" w:eastAsia="仿宋" w:cs="仿宋"/>
          <w:color w:val="FF0000"/>
          <w:kern w:val="0"/>
          <w:sz w:val="28"/>
          <w:szCs w:val="28"/>
        </w:rPr>
        <w:t>至</w:t>
      </w:r>
      <w:r>
        <w:rPr>
          <w:rFonts w:hint="eastAsia" w:ascii="仿宋" w:hAnsi="仿宋" w:eastAsia="仿宋" w:cs="仿宋"/>
          <w:b/>
          <w:color w:val="FF0000"/>
          <w:kern w:val="0"/>
          <w:sz w:val="28"/>
          <w:szCs w:val="28"/>
          <w:u w:val="single"/>
        </w:rPr>
        <w:t>2</w:t>
      </w:r>
      <w:r>
        <w:rPr>
          <w:rFonts w:ascii="仿宋" w:hAnsi="仿宋" w:eastAsia="仿宋" w:cs="仿宋"/>
          <w:b/>
          <w:color w:val="FF0000"/>
          <w:kern w:val="0"/>
          <w:sz w:val="28"/>
          <w:szCs w:val="28"/>
          <w:u w:val="single"/>
        </w:rPr>
        <w:t>02</w:t>
      </w:r>
      <w:r>
        <w:rPr>
          <w:rFonts w:hint="eastAsia" w:ascii="仿宋" w:hAnsi="仿宋" w:eastAsia="仿宋" w:cs="仿宋"/>
          <w:b/>
          <w:color w:val="FF0000"/>
          <w:kern w:val="0"/>
          <w:sz w:val="28"/>
          <w:szCs w:val="28"/>
          <w:u w:val="single"/>
        </w:rPr>
        <w:t>4年</w:t>
      </w:r>
      <w:r>
        <w:rPr>
          <w:rFonts w:ascii="仿宋" w:hAnsi="仿宋" w:eastAsia="仿宋" w:cs="仿宋"/>
          <w:b/>
          <w:color w:val="FF0000"/>
          <w:kern w:val="0"/>
          <w:sz w:val="28"/>
          <w:szCs w:val="28"/>
          <w:u w:val="single"/>
        </w:rPr>
        <w:t>10</w:t>
      </w:r>
      <w:r>
        <w:rPr>
          <w:rFonts w:hint="eastAsia" w:ascii="仿宋" w:hAnsi="仿宋" w:eastAsia="仿宋" w:cs="仿宋"/>
          <w:b/>
          <w:color w:val="FF0000"/>
          <w:kern w:val="0"/>
          <w:sz w:val="28"/>
          <w:szCs w:val="28"/>
          <w:u w:val="single"/>
        </w:rPr>
        <w:t>月09日23:59（北京时间）系统投递通道关闭。</w:t>
      </w:r>
    </w:p>
    <w:p w14:paraId="47B6E61F">
      <w:pPr>
        <w:widowControl/>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（二）笔、面试及后续安排的各环节具体时间、地点将通过短信邮件方式另行通知。</w:t>
      </w:r>
      <w:r>
        <w:rPr>
          <w:rFonts w:ascii="仿宋" w:hAnsi="仿宋" w:eastAsia="仿宋"/>
          <w:color w:val="000000"/>
          <w:sz w:val="28"/>
          <w:szCs w:val="28"/>
        </w:rPr>
        <w:t xml:space="preserve"> </w:t>
      </w:r>
    </w:p>
    <w:p w14:paraId="1546B258">
      <w:pPr>
        <w:widowControl/>
        <w:spacing w:line="360" w:lineRule="auto"/>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四、校园宣讲会</w:t>
      </w:r>
    </w:p>
    <w:p w14:paraId="172464F8">
      <w:pPr>
        <w:widowControl/>
        <w:spacing w:line="360" w:lineRule="auto"/>
        <w:ind w:firstLine="560" w:firstLineChars="200"/>
        <w:rPr>
          <w:rFonts w:ascii="仿宋" w:hAnsi="仿宋" w:eastAsia="仿宋"/>
          <w:color w:val="FF0000"/>
          <w:sz w:val="28"/>
          <w:szCs w:val="28"/>
        </w:rPr>
      </w:pPr>
      <w:r>
        <w:rPr>
          <w:rFonts w:hint="eastAsia" w:ascii="仿宋" w:hAnsi="仿宋" w:eastAsia="仿宋"/>
          <w:sz w:val="28"/>
          <w:szCs w:val="28"/>
        </w:rPr>
        <w:t>我行将于</w:t>
      </w:r>
      <w:r>
        <w:rPr>
          <w:rFonts w:ascii="仿宋" w:hAnsi="仿宋" w:eastAsia="仿宋"/>
          <w:b/>
          <w:color w:val="FF0000"/>
          <w:sz w:val="28"/>
          <w:szCs w:val="28"/>
          <w:u w:val="single"/>
        </w:rPr>
        <w:t>202</w:t>
      </w:r>
      <w:r>
        <w:rPr>
          <w:rFonts w:hint="eastAsia" w:ascii="仿宋" w:hAnsi="仿宋" w:eastAsia="仿宋"/>
          <w:b/>
          <w:color w:val="FF0000"/>
          <w:sz w:val="28"/>
          <w:szCs w:val="28"/>
          <w:u w:val="single"/>
        </w:rPr>
        <w:t>4年</w:t>
      </w:r>
      <w:r>
        <w:rPr>
          <w:rFonts w:ascii="仿宋" w:hAnsi="仿宋" w:eastAsia="仿宋"/>
          <w:b/>
          <w:color w:val="FF0000"/>
          <w:sz w:val="28"/>
          <w:szCs w:val="28"/>
          <w:u w:val="single"/>
        </w:rPr>
        <w:t>9</w:t>
      </w:r>
      <w:r>
        <w:rPr>
          <w:rFonts w:hint="eastAsia" w:ascii="仿宋" w:hAnsi="仿宋" w:eastAsia="仿宋"/>
          <w:b/>
          <w:color w:val="FF0000"/>
          <w:sz w:val="28"/>
          <w:szCs w:val="28"/>
          <w:u w:val="single"/>
        </w:rPr>
        <w:t>月起</w:t>
      </w:r>
      <w:r>
        <w:rPr>
          <w:rFonts w:hint="eastAsia" w:ascii="仿宋" w:hAnsi="仿宋" w:eastAsia="仿宋"/>
          <w:color w:val="000000"/>
          <w:sz w:val="28"/>
          <w:szCs w:val="28"/>
        </w:rPr>
        <w:t>在广州、成都、上海、武汉、昆明等多个城市开展现场校园宣讲会，具体时间及地点请关注招商银行招聘微信公众号！</w:t>
      </w:r>
    </w:p>
    <w:p w14:paraId="1B51DA9E">
      <w:pPr>
        <w:widowControl/>
        <w:spacing w:line="360" w:lineRule="auto"/>
        <w:ind w:firstLine="562" w:firstLineChars="200"/>
        <w:rPr>
          <w:rFonts w:ascii="仿宋" w:hAnsi="仿宋" w:eastAsia="仿宋" w:cs="仿宋"/>
          <w:b/>
          <w:bCs/>
          <w:kern w:val="0"/>
          <w:sz w:val="28"/>
          <w:szCs w:val="28"/>
        </w:rPr>
      </w:pPr>
      <w:r>
        <w:rPr>
          <w:rFonts w:hint="eastAsia" w:ascii="仿宋" w:hAnsi="仿宋" w:eastAsia="仿宋"/>
          <w:b/>
          <w:bCs/>
          <w:color w:val="000000"/>
          <w:sz w:val="28"/>
          <w:szCs w:val="28"/>
        </w:rPr>
        <w:t>五、应聘方式</w:t>
      </w:r>
    </w:p>
    <w:p w14:paraId="5BB9A374">
      <w:pPr>
        <w:widowControl/>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我们将提供四种方式助力您梦想靠岸，应聘者可通过以下方式申请感兴趣的职位，在线注册，投递简历！</w:t>
      </w:r>
    </w:p>
    <w:p w14:paraId="4D118E69">
      <w:pPr>
        <w:widowControl/>
        <w:spacing w:line="360" w:lineRule="auto"/>
        <w:ind w:firstLine="562" w:firstLineChars="200"/>
        <w:rPr>
          <w:rFonts w:ascii="仿宋" w:hAnsi="仿宋" w:eastAsia="仿宋" w:cs="仿宋"/>
          <w:kern w:val="0"/>
          <w:sz w:val="28"/>
          <w:szCs w:val="28"/>
        </w:rPr>
      </w:pPr>
      <w:r>
        <w:rPr>
          <w:rFonts w:hint="eastAsia" w:ascii="仿宋" w:hAnsi="仿宋" w:eastAsia="仿宋" w:cs="仿宋"/>
          <w:b/>
          <w:kern w:val="0"/>
          <w:sz w:val="28"/>
          <w:szCs w:val="28"/>
        </w:rPr>
        <w:t>官方网站：</w:t>
      </w:r>
      <w:r>
        <w:rPr>
          <w:rFonts w:hint="eastAsia" w:ascii="仿宋" w:hAnsi="仿宋" w:eastAsia="仿宋" w:cs="仿宋"/>
          <w:kern w:val="0"/>
          <w:sz w:val="28"/>
          <w:szCs w:val="28"/>
        </w:rPr>
        <w:t>登录招商银行“一网通”官方招聘网站career.cmbchina.com，点击“校园招聘-梦想靠岸˙应届生招聘-昆明分行”，申请感兴趣的职位，在线注册，投递简历！</w:t>
      </w:r>
    </w:p>
    <w:p w14:paraId="3FBB3AA8">
      <w:pPr>
        <w:widowControl/>
        <w:spacing w:line="360" w:lineRule="auto"/>
        <w:ind w:firstLine="562" w:firstLineChars="200"/>
        <w:rPr>
          <w:rFonts w:ascii="仿宋" w:hAnsi="仿宋" w:eastAsia="仿宋" w:cs="仿宋"/>
          <w:kern w:val="0"/>
          <w:sz w:val="28"/>
          <w:szCs w:val="28"/>
        </w:rPr>
      </w:pPr>
      <w:r>
        <w:rPr>
          <w:rFonts w:hint="eastAsia" w:ascii="仿宋" w:hAnsi="仿宋" w:eastAsia="仿宋" w:cs="仿宋"/>
          <w:b/>
          <w:kern w:val="0"/>
          <w:sz w:val="28"/>
          <w:szCs w:val="28"/>
        </w:rPr>
        <w:t>官方微信：</w:t>
      </w:r>
      <w:r>
        <w:rPr>
          <w:rFonts w:hint="eastAsia" w:ascii="仿宋" w:hAnsi="仿宋" w:eastAsia="仿宋" w:cs="仿宋"/>
          <w:kern w:val="0"/>
          <w:sz w:val="28"/>
          <w:szCs w:val="28"/>
        </w:rPr>
        <w:t>扫描</w:t>
      </w:r>
      <w:r>
        <w:rPr>
          <w:rFonts w:hint="eastAsia" w:ascii="仿宋" w:hAnsi="仿宋" w:eastAsia="仿宋" w:cs="仿宋"/>
          <w:kern w:val="0"/>
          <w:sz w:val="28"/>
          <w:szCs w:val="28"/>
          <w:lang w:eastAsia="zh-Hans"/>
        </w:rPr>
        <w:t>左</w:t>
      </w:r>
      <w:r>
        <w:rPr>
          <w:rFonts w:hint="eastAsia" w:ascii="仿宋" w:hAnsi="仿宋" w:eastAsia="仿宋" w:cs="仿宋"/>
          <w:kern w:val="0"/>
          <w:sz w:val="28"/>
          <w:szCs w:val="28"/>
        </w:rPr>
        <w:t>下方二维码，关注“招商银行招聘”微信公众平台，获取最新的校园招聘信息，点击“招了-校园招聘-更多岗位-昆明分行”，选择我行并投递简历</w:t>
      </w:r>
      <w:r>
        <w:rPr>
          <w:rFonts w:ascii="仿宋" w:hAnsi="仿宋" w:eastAsia="仿宋" w:cs="仿宋"/>
          <w:kern w:val="0"/>
          <w:sz w:val="28"/>
          <w:szCs w:val="28"/>
        </w:rPr>
        <w:t>，</w:t>
      </w:r>
      <w:r>
        <w:rPr>
          <w:rFonts w:hint="eastAsia" w:ascii="仿宋" w:hAnsi="仿宋" w:eastAsia="仿宋" w:cs="仿宋"/>
          <w:kern w:val="0"/>
          <w:sz w:val="28"/>
          <w:szCs w:val="28"/>
          <w:lang w:eastAsia="zh-Hans"/>
        </w:rPr>
        <w:t>或直接扫右下方二维码</w:t>
      </w:r>
      <w:r>
        <w:rPr>
          <w:rFonts w:ascii="仿宋" w:hAnsi="仿宋" w:eastAsia="仿宋" w:cs="仿宋"/>
          <w:kern w:val="0"/>
          <w:sz w:val="28"/>
          <w:szCs w:val="28"/>
          <w:lang w:eastAsia="zh-Hans"/>
        </w:rPr>
        <w:t>，</w:t>
      </w:r>
      <w:r>
        <w:rPr>
          <w:rFonts w:hint="eastAsia" w:ascii="仿宋" w:hAnsi="仿宋" w:eastAsia="仿宋" w:cs="仿宋"/>
          <w:kern w:val="0"/>
          <w:sz w:val="28"/>
          <w:szCs w:val="28"/>
          <w:lang w:eastAsia="zh-Hans"/>
        </w:rPr>
        <w:t>开启一键“简历投递”之旅</w:t>
      </w:r>
      <w:r>
        <w:rPr>
          <w:rFonts w:ascii="仿宋" w:hAnsi="仿宋" w:eastAsia="仿宋" w:cs="仿宋"/>
          <w:kern w:val="0"/>
          <w:sz w:val="28"/>
          <w:szCs w:val="28"/>
          <w:lang w:eastAsia="zh-Hans"/>
        </w:rPr>
        <w:t>！</w:t>
      </w:r>
    </w:p>
    <w:p w14:paraId="193D91FE">
      <w:pPr>
        <w:widowControl/>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drawing>
          <wp:inline distT="0" distB="0" distL="114300" distR="114300">
            <wp:extent cx="1362710" cy="1543050"/>
            <wp:effectExtent l="0" t="0" r="8890" b="11430"/>
            <wp:docPr id="2" name="图片 7" descr="https://file.cmbchina.com/employImages/201709/4c05c0e8-6736-4594-96ea-cad1d7b35f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https://file.cmbchina.com/employImages/201709/4c05c0e8-6736-4594-96ea-cad1d7b35f61.png"/>
                    <pic:cNvPicPr>
                      <a:picLocks noChangeAspect="1"/>
                    </pic:cNvPicPr>
                  </pic:nvPicPr>
                  <pic:blipFill>
                    <a:blip r:embed="rId9"/>
                    <a:srcRect b="8803"/>
                    <a:stretch>
                      <a:fillRect/>
                    </a:stretch>
                  </pic:blipFill>
                  <pic:spPr>
                    <a:xfrm>
                      <a:off x="0" y="0"/>
                      <a:ext cx="1362710" cy="1543050"/>
                    </a:xfrm>
                    <a:prstGeom prst="rect">
                      <a:avLst/>
                    </a:prstGeom>
                    <a:noFill/>
                    <a:ln>
                      <a:noFill/>
                    </a:ln>
                  </pic:spPr>
                </pic:pic>
              </a:graphicData>
            </a:graphic>
          </wp:inline>
        </w:drawing>
      </w:r>
      <w:r>
        <w:rPr>
          <w:rFonts w:hint="eastAsia" w:ascii="仿宋" w:hAnsi="仿宋" w:eastAsia="仿宋" w:cs="仿宋"/>
          <w:kern w:val="0"/>
          <w:sz w:val="28"/>
          <w:szCs w:val="28"/>
        </w:rPr>
        <w:t xml:space="preserve">    </w:t>
      </w:r>
      <w:r>
        <w:drawing>
          <wp:inline distT="0" distB="0" distL="114300" distR="114300">
            <wp:extent cx="1233170" cy="1471295"/>
            <wp:effectExtent l="0" t="0" r="5080" b="14605"/>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10"/>
                    <a:stretch>
                      <a:fillRect/>
                    </a:stretch>
                  </pic:blipFill>
                  <pic:spPr>
                    <a:xfrm>
                      <a:off x="0" y="0"/>
                      <a:ext cx="1233170" cy="1471295"/>
                    </a:xfrm>
                    <a:prstGeom prst="rect">
                      <a:avLst/>
                    </a:prstGeom>
                    <a:noFill/>
                    <a:ln>
                      <a:noFill/>
                    </a:ln>
                  </pic:spPr>
                </pic:pic>
              </a:graphicData>
            </a:graphic>
          </wp:inline>
        </w:drawing>
      </w:r>
    </w:p>
    <w:p w14:paraId="2434AD1C">
      <w:pPr>
        <w:widowControl/>
        <w:spacing w:line="360" w:lineRule="auto"/>
        <w:ind w:firstLine="562" w:firstLineChars="200"/>
        <w:rPr>
          <w:rFonts w:ascii="仿宋" w:hAnsi="仿宋" w:eastAsia="仿宋" w:cs="仿宋"/>
          <w:kern w:val="0"/>
          <w:sz w:val="28"/>
          <w:szCs w:val="28"/>
        </w:rPr>
      </w:pPr>
      <w:r>
        <w:rPr>
          <w:rFonts w:hint="eastAsia" w:ascii="仿宋" w:hAnsi="仿宋" w:eastAsia="仿宋" w:cs="仿宋"/>
          <w:b/>
          <w:kern w:val="0"/>
          <w:sz w:val="28"/>
          <w:szCs w:val="28"/>
        </w:rPr>
        <w:t>手机银行APP：</w:t>
      </w:r>
      <w:r>
        <w:rPr>
          <w:rFonts w:hint="eastAsia" w:ascii="仿宋" w:hAnsi="仿宋" w:eastAsia="仿宋" w:cs="仿宋"/>
          <w:kern w:val="0"/>
          <w:sz w:val="28"/>
          <w:szCs w:val="28"/>
        </w:rPr>
        <w:t>下载招商银行手机银行APP，登录后前往“校园招聘”功能模块，申请感兴趣的职位，在线注册，投递简历！</w:t>
      </w:r>
    </w:p>
    <w:p w14:paraId="15071E5A">
      <w:pPr>
        <w:widowControl/>
        <w:spacing w:line="360" w:lineRule="auto"/>
        <w:ind w:firstLine="562" w:firstLineChars="200"/>
        <w:rPr>
          <w:rFonts w:ascii="仿宋" w:hAnsi="仿宋" w:eastAsia="仿宋" w:cs="仿宋"/>
          <w:kern w:val="0"/>
          <w:sz w:val="28"/>
          <w:szCs w:val="28"/>
        </w:rPr>
      </w:pPr>
      <w:r>
        <w:rPr>
          <w:rFonts w:hint="eastAsia" w:ascii="仿宋" w:hAnsi="仿宋" w:eastAsia="仿宋" w:cs="仿宋"/>
          <w:b/>
          <w:kern w:val="0"/>
          <w:sz w:val="28"/>
          <w:szCs w:val="28"/>
        </w:rPr>
        <w:t>内部推荐：</w:t>
      </w:r>
      <w:r>
        <w:rPr>
          <w:rFonts w:hint="eastAsia" w:ascii="仿宋" w:hAnsi="仿宋" w:eastAsia="仿宋" w:cs="仿宋"/>
          <w:kern w:val="0"/>
          <w:sz w:val="30"/>
          <w:szCs w:val="30"/>
        </w:rPr>
        <w:t>可通过招商银行行员生成“内推码”扫码推荐报名，</w:t>
      </w:r>
      <w:r>
        <w:rPr>
          <w:rFonts w:hint="eastAsia" w:ascii="仿宋" w:hAnsi="仿宋" w:eastAsia="仿宋" w:cs="仿宋"/>
          <w:kern w:val="0"/>
          <w:sz w:val="28"/>
          <w:szCs w:val="28"/>
        </w:rPr>
        <w:t>内推路径为通过“招商银行招聘”微信公众号平台，点击“招了--YOU伯乐--校招内推”生成昆明分行岗位内推码，进行扫描投递完成内部推荐。</w:t>
      </w:r>
    </w:p>
    <w:p w14:paraId="44865E8A">
      <w:pPr>
        <w:widowControl/>
        <w:spacing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六、温馨提示</w:t>
      </w:r>
    </w:p>
    <w:p w14:paraId="6F0CB538">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（一）所有个人资料必须真实无误，如有虚假信息，申请人将会被取消申请资格。</w:t>
      </w:r>
    </w:p>
    <w:p w14:paraId="568F1032">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（二）应聘仅可通过招商银行官方招聘渠道在线申请并投递简历，网申时请一次性填写完个人全部信息，上传个人相关登记照或生活照，若中途终止，简历将无法更改。</w:t>
      </w:r>
    </w:p>
    <w:p w14:paraId="22EA6145">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（三）笔试、面试具体时间、地点、注意事项等将以短信形式发送至申请人手机，请务必保持手机通讯畅通，注意调整手机短信取消屏蔽设置，应聘期若变更手机号，请及时于系统中更新。</w:t>
      </w:r>
    </w:p>
    <w:p w14:paraId="14F73B35">
      <w:pPr>
        <w:widowControl/>
        <w:spacing w:line="360" w:lineRule="auto"/>
        <w:ind w:firstLine="563"/>
        <w:rPr>
          <w:rFonts w:ascii="仿宋" w:hAnsi="仿宋" w:eastAsia="仿宋" w:cs="仿宋"/>
          <w:kern w:val="0"/>
          <w:sz w:val="28"/>
          <w:szCs w:val="28"/>
        </w:rPr>
      </w:pPr>
      <w:r>
        <w:rPr>
          <w:rFonts w:hint="eastAsia" w:ascii="仿宋" w:hAnsi="仿宋" w:eastAsia="仿宋" w:cs="仿宋"/>
          <w:kern w:val="0"/>
          <w:sz w:val="28"/>
          <w:szCs w:val="28"/>
        </w:rPr>
        <w:t>（四）招商银行招聘不收取任何费用！</w:t>
      </w:r>
    </w:p>
    <w:p w14:paraId="691D291F">
      <w:pPr>
        <w:widowControl/>
        <w:spacing w:line="360" w:lineRule="auto"/>
        <w:ind w:firstLine="563"/>
        <w:rPr>
          <w:rFonts w:ascii="仿宋" w:hAnsi="仿宋" w:eastAsia="仿宋" w:cs="仿宋"/>
          <w:kern w:val="0"/>
          <w:sz w:val="28"/>
          <w:szCs w:val="28"/>
        </w:rPr>
      </w:pPr>
      <w:r>
        <w:rPr>
          <w:rFonts w:hint="eastAsia" w:ascii="仿宋" w:hAnsi="仿宋" w:eastAsia="仿宋" w:cs="仿宋"/>
          <w:kern w:val="0"/>
          <w:sz w:val="28"/>
          <w:szCs w:val="28"/>
        </w:rPr>
        <w:t>（五）招聘联系邮箱：cmbkmoffer@cmbchina.com。</w:t>
      </w:r>
    </w:p>
    <w:p w14:paraId="0EA7AFAD">
      <w:pPr>
        <w:widowControl/>
        <w:spacing w:line="360" w:lineRule="auto"/>
        <w:ind w:firstLine="563"/>
        <w:rPr>
          <w:rFonts w:ascii="仿宋" w:hAnsi="仿宋" w:eastAsia="仿宋" w:cs="仿宋"/>
          <w:kern w:val="0"/>
          <w:sz w:val="28"/>
          <w:szCs w:val="28"/>
        </w:rPr>
      </w:pPr>
      <w:r>
        <w:rPr>
          <w:rFonts w:hint="eastAsia" w:ascii="仿宋" w:hAnsi="仿宋" w:eastAsia="仿宋" w:cs="仿宋"/>
          <w:kern w:val="0"/>
          <w:sz w:val="28"/>
          <w:szCs w:val="28"/>
        </w:rPr>
        <w:t>我们期待与您同行，梦想靠岸！</w:t>
      </w:r>
    </w:p>
    <w:p w14:paraId="3A51076D">
      <w:pPr>
        <w:widowControl/>
        <w:spacing w:line="360" w:lineRule="auto"/>
        <w:jc w:val="right"/>
        <w:rPr>
          <w:rFonts w:ascii="仿宋" w:hAnsi="仿宋" w:eastAsia="仿宋" w:cs="仿宋"/>
          <w:kern w:val="0"/>
          <w:sz w:val="28"/>
          <w:szCs w:val="28"/>
        </w:rPr>
      </w:pPr>
      <w:r>
        <w:rPr>
          <w:rFonts w:hint="eastAsia" w:ascii="仿宋" w:hAnsi="仿宋" w:eastAsia="仿宋" w:cs="仿宋"/>
          <w:kern w:val="0"/>
          <w:sz w:val="28"/>
          <w:szCs w:val="28"/>
        </w:rPr>
        <w:t>招商银行</w:t>
      </w:r>
      <w:r>
        <w:rPr>
          <w:rFonts w:ascii="仿宋" w:hAnsi="仿宋" w:eastAsia="仿宋" w:cs="仿宋"/>
          <w:kern w:val="0"/>
          <w:sz w:val="28"/>
          <w:szCs w:val="28"/>
        </w:rPr>
        <w:t>昆明分行</w:t>
      </w:r>
    </w:p>
    <w:sectPr>
      <w:pgSz w:w="12240" w:h="15840"/>
      <w:pgMar w:top="1440" w:right="1418" w:bottom="1440"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6E68B"/>
    <w:multiLevelType w:val="singleLevel"/>
    <w:tmpl w:val="6B66E6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N2Q5OTJhNjdhOWFjYTAzMDJjYTE4NDNjMmU1MzMifQ=="/>
  </w:docVars>
  <w:rsids>
    <w:rsidRoot w:val="007550F2"/>
    <w:rsid w:val="000E69A7"/>
    <w:rsid w:val="00102261"/>
    <w:rsid w:val="00155F33"/>
    <w:rsid w:val="003054ED"/>
    <w:rsid w:val="003F60CB"/>
    <w:rsid w:val="0051499F"/>
    <w:rsid w:val="00696217"/>
    <w:rsid w:val="006D68D5"/>
    <w:rsid w:val="007550F2"/>
    <w:rsid w:val="008373F0"/>
    <w:rsid w:val="009A028B"/>
    <w:rsid w:val="00A615E0"/>
    <w:rsid w:val="00C60397"/>
    <w:rsid w:val="00D3504C"/>
    <w:rsid w:val="00E2648F"/>
    <w:rsid w:val="00E26C3C"/>
    <w:rsid w:val="0138268E"/>
    <w:rsid w:val="0539061F"/>
    <w:rsid w:val="06554F6B"/>
    <w:rsid w:val="0A133D15"/>
    <w:rsid w:val="0BCFCA6E"/>
    <w:rsid w:val="102F5819"/>
    <w:rsid w:val="132C5202"/>
    <w:rsid w:val="13904F26"/>
    <w:rsid w:val="150C5798"/>
    <w:rsid w:val="1AF42245"/>
    <w:rsid w:val="1BBE5191"/>
    <w:rsid w:val="22ED32DA"/>
    <w:rsid w:val="23192EA4"/>
    <w:rsid w:val="24165941"/>
    <w:rsid w:val="2685584E"/>
    <w:rsid w:val="27CB3D23"/>
    <w:rsid w:val="2A402E20"/>
    <w:rsid w:val="2DDD43CD"/>
    <w:rsid w:val="309E34D9"/>
    <w:rsid w:val="317A00BB"/>
    <w:rsid w:val="31FBB74D"/>
    <w:rsid w:val="34830033"/>
    <w:rsid w:val="34E07A03"/>
    <w:rsid w:val="3E35171E"/>
    <w:rsid w:val="410305B7"/>
    <w:rsid w:val="446B3DCC"/>
    <w:rsid w:val="4E2F31D3"/>
    <w:rsid w:val="4F637D4D"/>
    <w:rsid w:val="4F897283"/>
    <w:rsid w:val="542947A2"/>
    <w:rsid w:val="548B315E"/>
    <w:rsid w:val="5D964551"/>
    <w:rsid w:val="5E1F1DFA"/>
    <w:rsid w:val="5FB32210"/>
    <w:rsid w:val="61F636C4"/>
    <w:rsid w:val="63537D4B"/>
    <w:rsid w:val="64814073"/>
    <w:rsid w:val="67246844"/>
    <w:rsid w:val="67BB3964"/>
    <w:rsid w:val="6AF9A9D1"/>
    <w:rsid w:val="6E100A21"/>
    <w:rsid w:val="70D859B1"/>
    <w:rsid w:val="74D93943"/>
    <w:rsid w:val="76351F28"/>
    <w:rsid w:val="7AC06CD9"/>
    <w:rsid w:val="7B3A013A"/>
    <w:rsid w:val="7D9C1EA2"/>
    <w:rsid w:val="7E59B3BC"/>
    <w:rsid w:val="7EFF2E4E"/>
    <w:rsid w:val="9F7EBEA6"/>
    <w:rsid w:val="9F87818E"/>
    <w:rsid w:val="9FBD8880"/>
    <w:rsid w:val="CEFFA3A1"/>
    <w:rsid w:val="E9CAA996"/>
    <w:rsid w:val="EEBB37AB"/>
    <w:rsid w:val="F6EDAF51"/>
    <w:rsid w:val="FCB90F7D"/>
    <w:rsid w:val="FE7D69E7"/>
    <w:rsid w:val="FFFB2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563C1"/>
      <w:u w:val="single"/>
    </w:rPr>
  </w:style>
  <w:style w:type="character" w:customStyle="1" w:styleId="7">
    <w:name w:val="页脚 字符"/>
    <w:link w:val="2"/>
    <w:qFormat/>
    <w:uiPriority w:val="99"/>
    <w:rPr>
      <w:sz w:val="18"/>
      <w:szCs w:val="18"/>
    </w:rPr>
  </w:style>
  <w:style w:type="character" w:customStyle="1" w:styleId="8">
    <w:name w:val="页眉 字符"/>
    <w:link w:val="3"/>
    <w:qFormat/>
    <w:uiPriority w:val="99"/>
    <w:rPr>
      <w:sz w:val="18"/>
      <w:szCs w:val="18"/>
    </w:rPr>
  </w:style>
  <w:style w:type="paragraph" w:customStyle="1" w:styleId="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microsoft.com/office/2007/relationships/diagramDrawing" Target="diagrams/drawing1.xml"/><Relationship Id="rId7" Type="http://schemas.openxmlformats.org/officeDocument/2006/relationships/diagramColors" Target="diagrams/colors1.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rgbClr val="FFFFFF">
        <a:alpha val="90000"/>
      </a:srgbClr>
    </dgm:fillClrLst>
    <dgm:linClrLst meth="repeat">
      <a:srgbClr val="5B9BD5"/>
    </dgm:linClrLst>
    <dgm:effectClrLst/>
    <dgm:txLinClrLst/>
    <dgm:txFillClrLst meth="repeat">
      <a:srgbClr val="000000"/>
    </dgm:txFillClrLst>
    <dgm:txEffectClrLst/>
  </dgm:styleLbl>
  <dgm:styleLbl name="alignAccFollowNode1">
    <dgm:fillClrLst meth="repeat">
      <a:srgbClr val="D2DEEF">
        <a:alpha val="90000"/>
        <a:tint val="40000"/>
      </a:srgbClr>
    </dgm:fillClrLst>
    <dgm:linClrLst meth="repeat">
      <a:srgbClr val="D2DEEF">
        <a:alpha val="90000"/>
        <a:tint val="40000"/>
      </a:srgbClr>
    </dgm:linClrLst>
    <dgm:effectClrLst/>
    <dgm:txLinClrLst/>
    <dgm:txFillClrLst meth="repeat">
      <a:srgbClr val="000000"/>
    </dgm:txFillClrLst>
    <dgm:txEffectClrLst/>
  </dgm:styleLbl>
  <dgm:styleLbl name="alignImgPlace1">
    <dgm:fillClrLst meth="repeat">
      <a:srgbClr val="C4D5EB">
        <a:tint val="50000"/>
      </a:srgbClr>
    </dgm:fillClrLst>
    <dgm:linClrLst meth="repeat">
      <a:srgbClr val="FFFFFF"/>
    </dgm:linClrLst>
    <dgm:effectClrLst/>
    <dgm:txLinClrLst/>
    <dgm:txFillClrLst meth="repeat">
      <a:srgbClr val="FFFFFF"/>
    </dgm:txFillClrLst>
    <dgm:txEffectClrLst/>
  </dgm:styleLbl>
  <dgm:styleLbl name="alignNode1">
    <dgm:fillClrLst meth="repeat">
      <a:srgbClr val="5B9BD5"/>
    </dgm:fillClrLst>
    <dgm:linClrLst meth="repeat">
      <a:srgbClr val="5B9BD5"/>
    </dgm:linClrLst>
    <dgm:effectClrLst/>
    <dgm:txLinClrLst/>
    <dgm:txFillClrLst/>
    <dgm:txEffectClrLst/>
  </dgm:styleLbl>
  <dgm:styleLbl name="asst0">
    <dgm:fillClrLst meth="repeat">
      <a:srgbClr val="5B9BD5"/>
    </dgm:fillClrLst>
    <dgm:linClrLst meth="repeat">
      <a:srgbClr val="FFFFFF"/>
    </dgm:linClrLst>
    <dgm:effectClrLst/>
    <dgm:txLinClrLst/>
    <dgm:txFillClrLst/>
    <dgm:txEffectClrLst/>
  </dgm:styleLbl>
  <dgm:styleLbl name="asst1">
    <dgm:fillClrLst meth="repeat">
      <a:srgbClr val="5B9BD5"/>
    </dgm:fillClrLst>
    <dgm:linClrLst meth="repeat">
      <a:srgbClr val="FFFFFF"/>
    </dgm:linClrLst>
    <dgm:effectClrLst/>
    <dgm:txLinClrLst/>
    <dgm:txFillClrLst/>
    <dgm:txEffectClrLst/>
  </dgm:styleLbl>
  <dgm:styleLbl name="asst2">
    <dgm:fillClrLst meth="repeat">
      <a:srgbClr val="5B9BD5"/>
    </dgm:fillClrLst>
    <dgm:linClrLst meth="repeat">
      <a:srgbClr val="FFFFFF"/>
    </dgm:linClrLst>
    <dgm:effectClrLst/>
    <dgm:txLinClrLst/>
    <dgm:txFillClrLst/>
    <dgm:txEffectClrLst/>
  </dgm:styleLbl>
  <dgm:styleLbl name="asst3">
    <dgm:fillClrLst meth="repeat">
      <a:srgbClr val="5B9BD5"/>
    </dgm:fillClrLst>
    <dgm:linClrLst meth="repeat">
      <a:srgbClr val="FFFFFF"/>
    </dgm:linClrLst>
    <dgm:effectClrLst/>
    <dgm:txLinClrLst/>
    <dgm:txFillClrLst/>
    <dgm:txEffectClrLst/>
  </dgm:styleLbl>
  <dgm:styleLbl name="asst4">
    <dgm:fillClrLst meth="repeat">
      <a:srgbClr val="5B9BD5"/>
    </dgm:fillClrLst>
    <dgm:linClrLst meth="repeat">
      <a:srgbClr val="FFFFFF"/>
    </dgm:linClrLst>
    <dgm:effectClrLst/>
    <dgm:txLinClrLst/>
    <dgm:txFillClrLst/>
    <dgm:txEffectClrLst/>
  </dgm:styleLbl>
  <dgm:styleLbl name="bgAcc1">
    <dgm:fillClrLst meth="repeat">
      <a:srgbClr val="FFFFFF">
        <a:alpha val="90000"/>
      </a:srgbClr>
    </dgm:fillClrLst>
    <dgm:linClrLst meth="repeat">
      <a:srgbClr val="5B9BD5"/>
    </dgm:linClrLst>
    <dgm:effectClrLst/>
    <dgm:txLinClrLst/>
    <dgm:txFillClrLst meth="repeat">
      <a:srgbClr val="000000"/>
    </dgm:txFillClrLst>
    <dgm:txEffectClrLst/>
  </dgm:styleLbl>
  <dgm:styleLbl name="bgAccFollowNode1">
    <dgm:fillClrLst meth="repeat">
      <a:srgbClr val="D2DEEF">
        <a:alpha val="90000"/>
        <a:tint val="40000"/>
      </a:srgbClr>
    </dgm:fillClrLst>
    <dgm:linClrLst meth="repeat">
      <a:srgbClr val="D2DEEF">
        <a:alpha val="90000"/>
        <a:tint val="40000"/>
      </a:srgbClr>
    </dgm:linClrLst>
    <dgm:effectClrLst/>
    <dgm:txLinClrLst/>
    <dgm:txFillClrLst meth="repeat">
      <a:srgbClr val="000000"/>
    </dgm:txFillClrLst>
    <dgm:txEffectClrLst/>
  </dgm:styleLbl>
  <dgm:styleLbl name="bgImgPlace1">
    <dgm:fillClrLst meth="repeat">
      <a:srgbClr val="C4D5EB">
        <a:tint val="50000"/>
      </a:srgbClr>
    </dgm:fillClrLst>
    <dgm:linClrLst meth="repeat">
      <a:srgbClr val="FFFFFF"/>
    </dgm:linClrLst>
    <dgm:effectClrLst/>
    <dgm:txLinClrLst/>
    <dgm:txFillClrLst meth="repeat">
      <a:srgbClr val="FFFFFF"/>
    </dgm:txFillClrLst>
    <dgm:txEffectClrLst/>
  </dgm:styleLbl>
  <dgm:styleLbl name="bgShp">
    <dgm:fillClrLst meth="repeat">
      <a:srgbClr val="D2DEEF">
        <a:tint val="40000"/>
      </a:srgbClr>
    </dgm:fillClrLst>
    <dgm:linClrLst meth="repeat">
      <a:srgbClr val="5B9BD5"/>
    </dgm:linClrLst>
    <dgm:effectClrLst/>
    <dgm:txLinClrLst/>
    <dgm:txFillClrLst meth="repeat">
      <a:srgbClr val="000000"/>
    </dgm:txFillClrLst>
    <dgm:txEffectClrLst/>
  </dgm:styleLbl>
  <dgm:styleLbl name="bgSibTrans2D1">
    <dgm:fillClrLst meth="repeat">
      <a:srgbClr val="B5CBE7">
        <a:tint val="60000"/>
      </a:srgbClr>
    </dgm:fillClrLst>
    <dgm:linClrLst meth="repeat">
      <a:srgbClr val="B5CBE7">
        <a:tint val="60000"/>
      </a:srgbClr>
    </dgm:linClrLst>
    <dgm:effectClrLst/>
    <dgm:txLinClrLst/>
    <dgm:txFillClrLst/>
    <dgm:txEffectClrLst/>
  </dgm:styleLbl>
  <dgm:styleLbl name="callout">
    <dgm:fillClrLst meth="repeat">
      <a:srgbClr val="5B9BD5"/>
    </dgm:fillClrLst>
    <dgm:linClrLst meth="repeat">
      <a:srgbClr val="C4D5EB">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meth="repeat">
      <a:srgbClr val="5B9BD5"/>
    </dgm:linClrLst>
    <dgm:effectClrLst/>
    <dgm:txLinClrLst/>
    <dgm:txFillClrLst meth="repeat">
      <a:srgbClr val="000000"/>
    </dgm:txFillClrLst>
    <dgm:txEffectClrLst/>
  </dgm:styleLbl>
  <dgm:styleLbl name="dkBgShp">
    <dgm:fillClrLst meth="repeat">
      <a:srgbClr val="528CC1">
        <a:shade val="80000"/>
      </a:srgbClr>
    </dgm:fillClrLst>
    <dgm:linClrLst meth="repeat">
      <a:srgbClr val="5B9BD5"/>
    </dgm:linClrLst>
    <dgm:effectClrLst/>
    <dgm:txLinClrLst/>
    <dgm:txFillClrLst meth="repeat">
      <a:srgbClr val="FFFFFF"/>
    </dgm:txFillClrLst>
    <dgm:txEffectClrLst/>
  </dgm:styleLbl>
  <dgm:styleLbl name="fgAcc0">
    <dgm:fillClrLst meth="repeat">
      <a:srgbClr val="FFFFFF">
        <a:alpha val="90000"/>
      </a:srgbClr>
    </dgm:fillClrLst>
    <dgm:linClrLst meth="repeat">
      <a:srgbClr val="5B9BD5"/>
    </dgm:linClrLst>
    <dgm:effectClrLst/>
    <dgm:txLinClrLst/>
    <dgm:txFillClrLst meth="repeat">
      <a:srgbClr val="000000"/>
    </dgm:txFillClrLst>
    <dgm:txEffectClrLst/>
  </dgm:styleLbl>
  <dgm:styleLbl name="fgAcc1">
    <dgm:fillClrLst meth="repeat">
      <a:srgbClr val="FFFFFF">
        <a:alpha val="90000"/>
      </a:srgbClr>
    </dgm:fillClrLst>
    <dgm:linClrLst meth="repeat">
      <a:srgbClr val="5B9BD5"/>
    </dgm:linClrLst>
    <dgm:effectClrLst/>
    <dgm:txLinClrLst/>
    <dgm:txFillClrLst meth="repeat">
      <a:srgbClr val="000000"/>
    </dgm:txFillClrLst>
    <dgm:txEffectClrLst/>
  </dgm:styleLbl>
  <dgm:styleLbl name="fgAcc2">
    <dgm:fillClrLst meth="repeat">
      <a:srgbClr val="FFFFFF">
        <a:alpha val="90000"/>
      </a:srgbClr>
    </dgm:fillClrLst>
    <dgm:linClrLst meth="repeat">
      <a:srgbClr val="5B9BD5"/>
    </dgm:linClrLst>
    <dgm:effectClrLst/>
    <dgm:txLinClrLst/>
    <dgm:txFillClrLst meth="repeat">
      <a:srgbClr val="000000"/>
    </dgm:txFillClrLst>
    <dgm:txEffectClrLst/>
  </dgm:styleLbl>
  <dgm:styleLbl name="fgAcc3">
    <dgm:fillClrLst meth="repeat">
      <a:srgbClr val="FFFFFF">
        <a:alpha val="90000"/>
      </a:srgbClr>
    </dgm:fillClrLst>
    <dgm:linClrLst meth="repeat">
      <a:srgbClr val="5B9BD5"/>
    </dgm:linClrLst>
    <dgm:effectClrLst/>
    <dgm:txLinClrLst/>
    <dgm:txFillClrLst meth="repeat">
      <a:srgbClr val="000000"/>
    </dgm:txFillClrLst>
    <dgm:txEffectClrLst/>
  </dgm:styleLbl>
  <dgm:styleLbl name="fgAcc4">
    <dgm:fillClrLst meth="repeat">
      <a:srgbClr val="FFFFFF">
        <a:alpha val="90000"/>
      </a:srgbClr>
    </dgm:fillClrLst>
    <dgm:linClrLst meth="repeat">
      <a:srgbClr val="5B9BD5"/>
    </dgm:linClrLst>
    <dgm:effectClrLst/>
    <dgm:txLinClrLst/>
    <dgm:txFillClrLst meth="repeat">
      <a:srgbClr val="000000"/>
    </dgm:txFillClrLst>
    <dgm:txEffectClrLst/>
  </dgm:styleLbl>
  <dgm:styleLbl name="fgAccFollowNode1">
    <dgm:fillClrLst meth="repeat">
      <a:srgbClr val="D2DEEF">
        <a:alpha val="90000"/>
        <a:tint val="40000"/>
      </a:srgbClr>
    </dgm:fillClrLst>
    <dgm:linClrLst meth="repeat">
      <a:srgbClr val="D2DEEF">
        <a:alpha val="90000"/>
        <a:tint val="40000"/>
      </a:srgbClr>
    </dgm:linClrLst>
    <dgm:effectClrLst/>
    <dgm:txLinClrLst/>
    <dgm:txFillClrLst meth="repeat">
      <a:srgbClr val="000000"/>
    </dgm:txFillClrLst>
    <dgm:txEffectClrLst/>
  </dgm:styleLbl>
  <dgm:styleLbl name="fgImgPlace1">
    <dgm:fillClrLst meth="repeat">
      <a:srgbClr val="C4D5EB">
        <a:tint val="50000"/>
      </a:srgbClr>
    </dgm:fillClrLst>
    <dgm:linClrLst meth="repeat">
      <a:srgbClr val="FFFFFF"/>
    </dgm:linClrLst>
    <dgm:effectClrLst/>
    <dgm:txLinClrLst/>
    <dgm:txFillClrLst meth="repeat">
      <a:srgbClr val="FFFFFF"/>
    </dgm:txFillClrLst>
    <dgm:txEffectClrLst/>
  </dgm:styleLbl>
  <dgm:styleLbl name="fgShp">
    <dgm:fillClrLst meth="repeat">
      <a:srgbClr val="B5CBE7">
        <a:tint val="60000"/>
      </a:srgbClr>
    </dgm:fillClrLst>
    <dgm:linClrLst meth="repeat">
      <a:srgbClr val="FFFFFF"/>
    </dgm:linClrLst>
    <dgm:effectClrLst/>
    <dgm:txLinClrLst/>
    <dgm:txFillClrLst meth="repeat">
      <a:srgbClr val="000000"/>
    </dgm:txFillClrLst>
    <dgm:txEffectClrLst/>
  </dgm:styleLbl>
  <dgm:styleLbl name="fgSibTrans2D1">
    <dgm:fillClrLst meth="repeat">
      <a:srgbClr val="B5CBE7">
        <a:tint val="60000"/>
      </a:srgbClr>
    </dgm:fillClrLst>
    <dgm:linClrLst meth="repeat">
      <a:srgbClr val="B5CBE7">
        <a:tint val="60000"/>
      </a:srgbClr>
    </dgm:linClrLst>
    <dgm:effectClrLst/>
    <dgm:txLinClrLst/>
    <dgm:txFillClrLst/>
    <dgm:txEffectClrLst/>
  </dgm:styleLbl>
  <dgm:styleLbl name="lnNode1">
    <dgm:fillClrLst meth="repeat">
      <a:srgbClr val="5B9BD5"/>
    </dgm:fillClrLst>
    <dgm:linClrLst meth="repeat">
      <a:srgbClr val="FFFFFF"/>
    </dgm:linClrLst>
    <dgm:effectClrLst/>
    <dgm:txLinClrLst/>
    <dgm:txFillClrLst/>
    <dgm:txEffectClrLst/>
  </dgm:styleLbl>
  <dgm:styleLbl name="node0">
    <dgm:fillClrLst meth="repeat">
      <a:srgbClr val="5B9BD5"/>
    </dgm:fillClrLst>
    <dgm:linClrLst meth="repeat">
      <a:srgbClr val="FFFFFF"/>
    </dgm:linClrLst>
    <dgm:effectClrLst/>
    <dgm:txLinClrLst/>
    <dgm:txFillClrLst/>
    <dgm:txEffectClrLst/>
  </dgm:styleLbl>
  <dgm:styleLbl name="node1">
    <dgm:fillClrLst meth="repeat">
      <a:srgbClr val="5B9BD5"/>
    </dgm:fillClrLst>
    <dgm:linClrLst meth="repeat">
      <a:srgbClr val="FFFFFF"/>
    </dgm:linClrLst>
    <dgm:effectClrLst/>
    <dgm:txLinClrLst/>
    <dgm:txFillClrLst/>
    <dgm:txEffectClrLst/>
  </dgm:styleLbl>
  <dgm:styleLbl name="node2">
    <dgm:fillClrLst meth="repeat">
      <a:srgbClr val="5B9BD5"/>
    </dgm:fillClrLst>
    <dgm:linClrLst meth="repeat">
      <a:srgbClr val="FFFFFF"/>
    </dgm:linClrLst>
    <dgm:effectClrLst/>
    <dgm:txLinClrLst/>
    <dgm:txFillClrLst/>
    <dgm:txEffectClrLst/>
  </dgm:styleLbl>
  <dgm:styleLbl name="node3">
    <dgm:fillClrLst meth="repeat">
      <a:srgbClr val="5B9BD5"/>
    </dgm:fillClrLst>
    <dgm:linClrLst meth="repeat">
      <a:srgbClr val="FFFFFF"/>
    </dgm:linClrLst>
    <dgm:effectClrLst/>
    <dgm:txLinClrLst/>
    <dgm:txFillClrLst/>
    <dgm:txEffectClrLst/>
  </dgm:styleLbl>
  <dgm:styleLbl name="node4">
    <dgm:fillClrLst meth="repeat">
      <a:srgbClr val="5B9BD5"/>
    </dgm:fillClrLst>
    <dgm:linClrLst meth="repeat">
      <a:srgbClr val="FFFFFF"/>
    </dgm:linClrLst>
    <dgm:effectClrLst/>
    <dgm:txLinClrLst/>
    <dgm:txFillClrLst/>
    <dgm:txEffectClrLst/>
  </dgm:styleLbl>
  <dgm:styleLbl name="parChTrans1D1">
    <dgm:fillClrLst meth="repeat">
      <a:srgbClr val="5B9BD5"/>
    </dgm:fillClrLst>
    <dgm:linClrLst meth="repeat">
      <a:srgbClr val="477BA9">
        <a:shade val="60000"/>
      </a:srgbClr>
    </dgm:linClrLst>
    <dgm:effectClrLst/>
    <dgm:txLinClrLst/>
    <dgm:txFillClrLst meth="repeat">
      <a:srgbClr val="000000"/>
    </dgm:txFillClrLst>
    <dgm:txEffectClrLst/>
  </dgm:styleLbl>
  <dgm:styleLbl name="parChTrans1D2">
    <dgm:fillClrLst meth="repeat">
      <a:srgbClr val="5B9BD5"/>
    </dgm:fillClrLst>
    <dgm:linClrLst meth="repeat">
      <a:srgbClr val="477BA9">
        <a:shade val="60000"/>
      </a:srgbClr>
    </dgm:linClrLst>
    <dgm:effectClrLst/>
    <dgm:txLinClrLst/>
    <dgm:txFillClrLst meth="repeat">
      <a:srgbClr val="000000"/>
    </dgm:txFillClrLst>
    <dgm:txEffectClrLst/>
  </dgm:styleLbl>
  <dgm:styleLbl name="parChTrans1D3">
    <dgm:fillClrLst meth="repeat">
      <a:srgbClr val="5B9BD5"/>
    </dgm:fillClrLst>
    <dgm:linClrLst meth="repeat">
      <a:srgbClr val="528CC1">
        <a:shade val="80000"/>
      </a:srgbClr>
    </dgm:linClrLst>
    <dgm:effectClrLst/>
    <dgm:txLinClrLst/>
    <dgm:txFillClrLst meth="repeat">
      <a:srgbClr val="000000"/>
    </dgm:txFillClrLst>
    <dgm:txEffectClrLst/>
  </dgm:styleLbl>
  <dgm:styleLbl name="parChTrans1D4">
    <dgm:fillClrLst meth="repeat">
      <a:srgbClr val="5B9BD5"/>
    </dgm:fillClrLst>
    <dgm:linClrLst meth="repeat">
      <a:srgbClr val="528CC1">
        <a:shade val="80000"/>
      </a:srgbClr>
    </dgm:linClrLst>
    <dgm:effectClrLst/>
    <dgm:txLinClrLst/>
    <dgm:txFillClrLst meth="repeat">
      <a:srgbClr val="000000"/>
    </dgm:txFillClrLst>
    <dgm:txEffectClrLst/>
  </dgm:styleLbl>
  <dgm:styleLbl name="parChTrans2D1">
    <dgm:fillClrLst meth="repeat">
      <a:srgbClr val="B5CBE7">
        <a:tint val="60000"/>
      </a:srgbClr>
    </dgm:fillClrLst>
    <dgm:linClrLst meth="repeat">
      <a:srgbClr val="B5CBE7">
        <a:tint val="60000"/>
      </a:srgbClr>
    </dgm:linClrLst>
    <dgm:effectClrLst/>
    <dgm:txLinClrLst/>
    <dgm:txFillClrLst meth="repeat">
      <a:srgbClr val="FFFFFF"/>
    </dgm:txFillClrLst>
    <dgm:txEffectClrLst/>
  </dgm:styleLbl>
  <dgm:styleLbl name="parChTrans2D2">
    <dgm:fillClrLst meth="repeat">
      <a:srgbClr val="5B9BD5"/>
    </dgm:fillClrLst>
    <dgm:linClrLst meth="repeat">
      <a:srgbClr val="5B9BD5"/>
    </dgm:linClrLst>
    <dgm:effectClrLst/>
    <dgm:txLinClrLst/>
    <dgm:txFillClrLst meth="repeat">
      <a:srgbClr val="FFFFFF"/>
    </dgm:txFillClrLst>
    <dgm:txEffectClrLst/>
  </dgm:styleLbl>
  <dgm:styleLbl name="parChTrans2D3">
    <dgm:fillClrLst meth="repeat">
      <a:srgbClr val="5B9BD5"/>
    </dgm:fillClrLst>
    <dgm:linClrLst meth="repeat">
      <a:srgbClr val="5B9BD5"/>
    </dgm:linClrLst>
    <dgm:effectClrLst/>
    <dgm:txLinClrLst/>
    <dgm:txFillClrLst meth="repeat">
      <a:srgbClr val="FFFFFF"/>
    </dgm:txFillClrLst>
    <dgm:txEffectClrLst/>
  </dgm:styleLbl>
  <dgm:styleLbl name="parChTrans2D4">
    <dgm:fillClrLst meth="repeat">
      <a:srgbClr val="5B9BD5"/>
    </dgm:fillClrLst>
    <dgm:linClrLst meth="repeat">
      <a:srgbClr val="5B9BD5"/>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meth="repeat">
      <a:srgbClr val="5B9BD5"/>
    </dgm:fillClrLst>
    <dgm:linClrLst meth="repeat">
      <a:srgbClr val="5B9BD5"/>
    </dgm:linClrLst>
    <dgm:effectClrLst/>
    <dgm:txLinClrLst/>
    <dgm:txFillClrLst meth="repeat">
      <a:srgbClr val="000000"/>
    </dgm:txFillClrLst>
    <dgm:txEffectClrLst/>
  </dgm:styleLbl>
  <dgm:styleLbl name="sibTrans2D1">
    <dgm:fillClrLst meth="repeat">
      <a:srgbClr val="B5CBE7">
        <a:tint val="60000"/>
      </a:srgbClr>
    </dgm:fillClrLst>
    <dgm:linClrLst meth="repeat">
      <a:srgbClr val="B5CBE7">
        <a:tint val="60000"/>
      </a:srgbClr>
    </dgm:linClrLst>
    <dgm:effectClrLst/>
    <dgm:txLinClrLst/>
    <dgm:txFillClrLst/>
    <dgm:txEffectClrLst/>
  </dgm:styleLbl>
  <dgm:styleLbl name="solidAlignAcc1">
    <dgm:fillClrLst meth="repeat">
      <a:srgbClr val="FFFFFF"/>
    </dgm:fillClrLst>
    <dgm:linClrLst meth="repeat">
      <a:srgbClr val="5B9BD5"/>
    </dgm:linClrLst>
    <dgm:effectClrLst/>
    <dgm:txLinClrLst/>
    <dgm:txFillClrLst meth="repeat">
      <a:srgbClr val="000000"/>
    </dgm:txFillClrLst>
    <dgm:txEffectClrLst/>
  </dgm:styleLbl>
  <dgm:styleLbl name="solidBgAcc1">
    <dgm:fillClrLst meth="repeat">
      <a:srgbClr val="FFFFFF"/>
    </dgm:fillClrLst>
    <dgm:linClrLst meth="repeat">
      <a:srgbClr val="5B9BD5"/>
    </dgm:linClrLst>
    <dgm:effectClrLst/>
    <dgm:txLinClrLst/>
    <dgm:txFillClrLst meth="repeat">
      <a:srgbClr val="000000"/>
    </dgm:txFillClrLst>
    <dgm:txEffectClrLst/>
  </dgm:styleLbl>
  <dgm:styleLbl name="solidFgAcc1">
    <dgm:fillClrLst meth="repeat">
      <a:srgbClr val="FFFFFF"/>
    </dgm:fillClrLst>
    <dgm:linClrLst meth="repeat">
      <a:srgbClr val="5B9BD5"/>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5B9BD5"/>
    </dgm:linClrLst>
    <dgm:effectClrLst/>
    <dgm:txLinClrLst/>
    <dgm:txFillClrLst meth="repeat">
      <a:srgbClr val="000000"/>
    </dgm:txFillClrLst>
    <dgm:txEffectClrLst/>
  </dgm:styleLbl>
  <dgm:styleLbl name="trBgShp">
    <dgm:fillClrLst meth="repeat">
      <a:srgbClr val="C4D5EB">
        <a:tint val="50000"/>
        <a:alpha val="40000"/>
      </a:srgbClr>
    </dgm:fillClrLst>
    <dgm:linClrLst meth="repeat">
      <a:srgbClr val="5B9BD5"/>
    </dgm:linClrLst>
    <dgm:effectClrLst/>
    <dgm:txLinClrLst/>
    <dgm:txFillClrLst meth="repeat">
      <a:srgbClr val="FFFFFF"/>
    </dgm:txFillClrLst>
    <dgm:txEffectClrLst/>
  </dgm:styleLbl>
  <dgm:styleLbl name="vennNode1">
    <dgm:fillClrLst meth="repeat">
      <a:srgbClr val="5B9BD5">
        <a:alpha val="50000"/>
      </a:srgbClr>
    </dgm:fillClrLst>
    <dgm:linClrLst meth="repeat">
      <a:srgbClr val="FFFFFF"/>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82975DE-CE6C-410B-81DB-0242BAF91906}" type="doc">
      <dgm:prSet loTypeId="urn:microsoft.com/office/officeart/2005/8/layout/chevron1" loCatId="process" qsTypeId="urn:microsoft.com/office/officeart/2005/8/quickstyle/simple1#1" qsCatId="simple" csTypeId="urn:microsoft.com/office/officeart/2005/8/colors/accent1_2#1" csCatId="accent1" phldr="1"/>
      <dgm:spPr/>
    </dgm:pt>
    <dgm:pt modelId="{F1AA2F71-FC0A-4C45-9611-397361C471F6}">
      <dgm:prSet phldrT="[文本]" custT="1"/>
      <dgm:spPr>
        <a:noFill/>
        <a:ln>
          <a:solidFill>
            <a:srgbClr val="000000"/>
          </a:solidFill>
        </a:ln>
      </dgm:spPr>
      <dgm:t>
        <a:bodyPr/>
        <a:p>
          <a:pPr algn="ctr"/>
          <a:r>
            <a:rPr lang="zh-CN" altLang="en-US" sz="1100">
              <a:solidFill>
                <a:sysClr val="windowText" lastClr="000000"/>
              </a:solidFill>
            </a:rPr>
            <a:t>简历投递</a:t>
          </a:r>
        </a:p>
      </dgm:t>
    </dgm:pt>
    <dgm:pt modelId="{A7D335A8-E386-42D2-A30B-06F0F9FA41C7}" cxnId="{0EB48997-C358-4137-8D30-FF78D5F4195D}" type="parTrans">
      <dgm:prSet/>
      <dgm:spPr/>
      <dgm:t>
        <a:bodyPr/>
        <a:p>
          <a:pPr algn="ctr"/>
          <a:endParaRPr lang="zh-CN" altLang="en-US"/>
        </a:p>
      </dgm:t>
    </dgm:pt>
    <dgm:pt modelId="{726DC6B3-BA3C-4D24-97AF-7A1DFED427FA}" cxnId="{0EB48997-C358-4137-8D30-FF78D5F4195D}" type="sibTrans">
      <dgm:prSet/>
      <dgm:spPr/>
      <dgm:t>
        <a:bodyPr/>
        <a:p>
          <a:pPr algn="ctr"/>
          <a:endParaRPr lang="zh-CN" altLang="en-US"/>
        </a:p>
      </dgm:t>
    </dgm:pt>
    <dgm:pt modelId="{CF02E53B-98DD-4F7C-A803-20EC4EE0D9BA}">
      <dgm:prSet phldrT="[文本]" custT="1"/>
      <dgm:spPr>
        <a:noFill/>
        <a:ln>
          <a:solidFill>
            <a:srgbClr val="000000"/>
          </a:solidFill>
        </a:ln>
      </dgm:spPr>
      <dgm:t>
        <a:bodyPr/>
        <a:p>
          <a:pPr algn="ctr"/>
          <a:r>
            <a:rPr lang="zh-CN" altLang="en-US" sz="1100">
              <a:solidFill>
                <a:sysClr val="windowText" lastClr="000000"/>
              </a:solidFill>
            </a:rPr>
            <a:t>简历筛选</a:t>
          </a:r>
        </a:p>
      </dgm:t>
    </dgm:pt>
    <dgm:pt modelId="{14EC2327-EB5F-4C45-977F-D7E689EE94F6}" cxnId="{E7835C06-92FB-453D-88DD-7B99C55F3DD0}" type="parTrans">
      <dgm:prSet/>
      <dgm:spPr/>
      <dgm:t>
        <a:bodyPr/>
        <a:p>
          <a:pPr algn="ctr"/>
          <a:endParaRPr lang="zh-CN" altLang="en-US"/>
        </a:p>
      </dgm:t>
    </dgm:pt>
    <dgm:pt modelId="{4C3250D2-2B00-488E-AD32-9D14676F472E}" cxnId="{E7835C06-92FB-453D-88DD-7B99C55F3DD0}" type="sibTrans">
      <dgm:prSet/>
      <dgm:spPr/>
      <dgm:t>
        <a:bodyPr/>
        <a:p>
          <a:pPr algn="ctr"/>
          <a:endParaRPr lang="zh-CN" altLang="en-US"/>
        </a:p>
      </dgm:t>
    </dgm:pt>
    <dgm:pt modelId="{A69583F9-5D15-4541-8EF0-56355A3F96C0}">
      <dgm:prSet phldrT="[文本]" custT="1"/>
      <dgm:spPr>
        <a:noFill/>
        <a:ln>
          <a:solidFill>
            <a:srgbClr val="000000"/>
          </a:solidFill>
        </a:ln>
      </dgm:spPr>
      <dgm:t>
        <a:bodyPr/>
        <a:p>
          <a:pPr algn="ctr"/>
          <a:r>
            <a:rPr lang="zh-CN" altLang="en-US" sz="1100">
              <a:solidFill>
                <a:sysClr val="windowText" lastClr="000000"/>
              </a:solidFill>
            </a:rPr>
            <a:t>一面考核</a:t>
          </a:r>
        </a:p>
      </dgm:t>
    </dgm:pt>
    <dgm:pt modelId="{01C5ADAE-2C7F-4EE1-B91E-533FB7CC5DCA}" cxnId="{F98BA9C2-ACC4-412C-BE15-6C69150D5000}" type="parTrans">
      <dgm:prSet/>
      <dgm:spPr/>
      <dgm:t>
        <a:bodyPr/>
        <a:p>
          <a:pPr algn="ctr"/>
          <a:endParaRPr lang="zh-CN" altLang="en-US"/>
        </a:p>
      </dgm:t>
    </dgm:pt>
    <dgm:pt modelId="{D0F18108-9D35-419C-95B4-94A7A320F0F4}" cxnId="{F98BA9C2-ACC4-412C-BE15-6C69150D5000}" type="sibTrans">
      <dgm:prSet/>
      <dgm:spPr/>
      <dgm:t>
        <a:bodyPr/>
        <a:p>
          <a:pPr algn="ctr"/>
          <a:endParaRPr lang="zh-CN" altLang="en-US"/>
        </a:p>
      </dgm:t>
    </dgm:pt>
    <dgm:pt modelId="{6D02F3A4-E917-47B4-8990-C64E76043E41}">
      <dgm:prSet custT="1"/>
      <dgm:spPr>
        <a:noFill/>
        <a:ln>
          <a:solidFill>
            <a:srgbClr val="000000"/>
          </a:solidFill>
        </a:ln>
      </dgm:spPr>
      <dgm:t>
        <a:bodyPr/>
        <a:p>
          <a:pPr algn="ctr"/>
          <a:r>
            <a:rPr lang="zh-CN" altLang="en-US" sz="1100">
              <a:solidFill>
                <a:sysClr val="windowText" lastClr="000000"/>
              </a:solidFill>
            </a:rPr>
            <a:t>统一笔试</a:t>
          </a:r>
        </a:p>
      </dgm:t>
    </dgm:pt>
    <dgm:pt modelId="{E2E42018-8DE6-453D-BCF2-2183B6D7F145}" cxnId="{D5E808A5-9A86-4ACA-9F51-8C0444C40555}" type="parTrans">
      <dgm:prSet/>
      <dgm:spPr/>
      <dgm:t>
        <a:bodyPr/>
        <a:p>
          <a:pPr algn="ctr"/>
          <a:endParaRPr lang="zh-CN" altLang="en-US"/>
        </a:p>
      </dgm:t>
    </dgm:pt>
    <dgm:pt modelId="{18D4C711-14E2-4AE9-9C73-16275CDEDC00}" cxnId="{D5E808A5-9A86-4ACA-9F51-8C0444C40555}" type="sibTrans">
      <dgm:prSet/>
      <dgm:spPr/>
      <dgm:t>
        <a:bodyPr/>
        <a:p>
          <a:pPr algn="ctr"/>
          <a:endParaRPr lang="zh-CN" altLang="en-US"/>
        </a:p>
      </dgm:t>
    </dgm:pt>
    <dgm:pt modelId="{0B13D760-BC30-467C-AD4B-812186237C8E}">
      <dgm:prSet custT="1"/>
      <dgm:spPr>
        <a:noFill/>
        <a:ln>
          <a:solidFill>
            <a:srgbClr val="000000"/>
          </a:solidFill>
        </a:ln>
      </dgm:spPr>
      <dgm:t>
        <a:bodyPr/>
        <a:p>
          <a:pPr algn="ctr"/>
          <a:r>
            <a:rPr lang="zh-CN" altLang="en-US" sz="1100">
              <a:solidFill>
                <a:sysClr val="windowText" lastClr="000000"/>
              </a:solidFill>
            </a:rPr>
            <a:t>二面考核</a:t>
          </a:r>
        </a:p>
      </dgm:t>
    </dgm:pt>
    <dgm:pt modelId="{0B6F84C3-4E03-43E6-95AF-62AFA029EE71}" cxnId="{771F58F4-BA73-4068-9A45-D5C7D542F8DF}" type="parTrans">
      <dgm:prSet/>
      <dgm:spPr/>
      <dgm:t>
        <a:bodyPr/>
        <a:p>
          <a:pPr algn="ctr"/>
          <a:endParaRPr lang="zh-CN" altLang="en-US"/>
        </a:p>
      </dgm:t>
    </dgm:pt>
    <dgm:pt modelId="{969B186E-0F8B-4E3F-9547-C92D1A5D0434}" cxnId="{771F58F4-BA73-4068-9A45-D5C7D542F8DF}" type="sibTrans">
      <dgm:prSet/>
      <dgm:spPr/>
      <dgm:t>
        <a:bodyPr/>
        <a:p>
          <a:pPr algn="ctr"/>
          <a:endParaRPr lang="zh-CN" altLang="en-US"/>
        </a:p>
      </dgm:t>
    </dgm:pt>
    <dgm:pt modelId="{2AEDF74A-C637-4E42-A91A-2283FAE0A71A}">
      <dgm:prSet custT="1">
        <dgm:style>
          <a:lnRef idx="2">
            <a:srgbClr val="000000"/>
          </a:lnRef>
          <a:fillRef idx="1">
            <a:srgbClr val="FFFFFF"/>
          </a:fillRef>
          <a:effectRef idx="0">
            <a:srgbClr val="000000"/>
          </a:effectRef>
          <a:fontRef idx="minor">
            <a:srgbClr val="000000"/>
          </a:fontRef>
        </dgm:style>
      </dgm:prSet>
      <dgm:spPr/>
      <dgm:t>
        <a:bodyPr/>
        <a:p>
          <a:pPr algn="ctr"/>
          <a:r>
            <a:rPr lang="zh-CN" altLang="en-US" sz="1100">
              <a:solidFill>
                <a:sysClr val="windowText" lastClr="000000"/>
              </a:solidFill>
            </a:rPr>
            <a:t>终面</a:t>
          </a:r>
        </a:p>
      </dgm:t>
    </dgm:pt>
    <dgm:pt modelId="{49696CF0-8F29-4D07-92D2-D78A2A9ECBB1}" cxnId="{B4A549F7-B619-4C3B-BDC6-A4B1A233B237}" type="parTrans">
      <dgm:prSet/>
      <dgm:spPr/>
      <dgm:t>
        <a:bodyPr/>
        <a:p>
          <a:pPr algn="ctr"/>
          <a:endParaRPr lang="zh-CN" altLang="en-US"/>
        </a:p>
      </dgm:t>
    </dgm:pt>
    <dgm:pt modelId="{C1452C8F-184D-4793-8446-DF0364192537}" cxnId="{B4A549F7-B619-4C3B-BDC6-A4B1A233B237}" type="sibTrans">
      <dgm:prSet/>
      <dgm:spPr/>
      <dgm:t>
        <a:bodyPr/>
        <a:p>
          <a:pPr algn="ctr"/>
          <a:endParaRPr lang="zh-CN" altLang="en-US"/>
        </a:p>
      </dgm:t>
    </dgm:pt>
    <dgm:pt modelId="{4A55EC64-B5AB-42D9-ACD4-FC0D6FED629D}">
      <dgm:prSet custT="1">
        <dgm:style>
          <a:lnRef idx="2">
            <a:srgbClr val="000000"/>
          </a:lnRef>
          <a:fillRef idx="1">
            <a:srgbClr val="FFFFFF"/>
          </a:fillRef>
          <a:effectRef idx="0">
            <a:srgbClr val="000000"/>
          </a:effectRef>
          <a:fontRef idx="minor">
            <a:srgbClr val="000000"/>
          </a:fontRef>
        </dgm:style>
      </dgm:prSet>
      <dgm:spPr/>
      <dgm:t>
        <a:bodyPr/>
        <a:p>
          <a:pPr algn="ctr"/>
          <a:r>
            <a:rPr lang="zh-CN" altLang="en-US" sz="1100">
              <a:solidFill>
                <a:sysClr val="windowText" lastClr="000000"/>
              </a:solidFill>
            </a:rPr>
            <a:t>录用通知</a:t>
          </a:r>
        </a:p>
      </dgm:t>
    </dgm:pt>
    <dgm:pt modelId="{4EEACA95-4443-49FC-8BCE-DA312C207EE5}" cxnId="{EAE2EB29-89B7-4075-919A-6DB7BAF11E8E}" type="parTrans">
      <dgm:prSet/>
      <dgm:spPr/>
      <dgm:t>
        <a:bodyPr/>
        <a:p>
          <a:pPr algn="ctr"/>
          <a:endParaRPr lang="zh-CN" altLang="en-US"/>
        </a:p>
      </dgm:t>
    </dgm:pt>
    <dgm:pt modelId="{C80887D9-5D9A-431F-9CDD-0AF0620933BA}" cxnId="{EAE2EB29-89B7-4075-919A-6DB7BAF11E8E}" type="sibTrans">
      <dgm:prSet/>
      <dgm:spPr/>
      <dgm:t>
        <a:bodyPr/>
        <a:p>
          <a:pPr algn="ctr"/>
          <a:endParaRPr lang="zh-CN" altLang="en-US"/>
        </a:p>
      </dgm:t>
    </dgm:pt>
    <dgm:pt modelId="{41F9CB58-EA32-4805-8D3E-03A1299EE499}" type="pres">
      <dgm:prSet presAssocID="{882975DE-CE6C-410B-81DB-0242BAF91906}" presName="Name0" presStyleCnt="0">
        <dgm:presLayoutVars>
          <dgm:dir/>
          <dgm:animLvl val="lvl"/>
          <dgm:resizeHandles val="exact"/>
        </dgm:presLayoutVars>
      </dgm:prSet>
      <dgm:spPr/>
    </dgm:pt>
    <dgm:pt modelId="{EB818647-8E56-465D-B034-C2ADE4062358}" type="pres">
      <dgm:prSet presAssocID="{F1AA2F71-FC0A-4C45-9611-397361C471F6}" presName="parTxOnly" presStyleLbl="node1" presStyleIdx="0" presStyleCnt="7">
        <dgm:presLayoutVars>
          <dgm:chMax val="0"/>
          <dgm:chPref val="0"/>
          <dgm:bulletEnabled val="1"/>
        </dgm:presLayoutVars>
      </dgm:prSet>
      <dgm:spPr/>
      <dgm:t>
        <a:bodyPr/>
        <a:p>
          <a:endParaRPr lang="zh-CN" altLang="en-US"/>
        </a:p>
      </dgm:t>
    </dgm:pt>
    <dgm:pt modelId="{563DE613-F897-46BC-8185-E8F2DD9D6A5C}" type="pres">
      <dgm:prSet presAssocID="{726DC6B3-BA3C-4D24-97AF-7A1DFED427FA}" presName="parTxOnlySpace" presStyleCnt="0"/>
      <dgm:spPr/>
    </dgm:pt>
    <dgm:pt modelId="{B26AE415-6147-4ADE-84DF-3F9729ACD8AC}" type="pres">
      <dgm:prSet presAssocID="{CF02E53B-98DD-4F7C-A803-20EC4EE0D9BA}" presName="parTxOnly" presStyleLbl="node1" presStyleIdx="1" presStyleCnt="7">
        <dgm:presLayoutVars>
          <dgm:chMax val="0"/>
          <dgm:chPref val="0"/>
          <dgm:bulletEnabled val="1"/>
        </dgm:presLayoutVars>
      </dgm:prSet>
      <dgm:spPr/>
      <dgm:t>
        <a:bodyPr/>
        <a:p>
          <a:endParaRPr lang="zh-CN" altLang="en-US"/>
        </a:p>
      </dgm:t>
    </dgm:pt>
    <dgm:pt modelId="{0A997C73-1D7E-4EF2-9F4F-4D3E28C28B7F}" type="pres">
      <dgm:prSet presAssocID="{4C3250D2-2B00-488E-AD32-9D14676F472E}" presName="parTxOnlySpace" presStyleCnt="0"/>
      <dgm:spPr/>
    </dgm:pt>
    <dgm:pt modelId="{13B3A931-9F8D-4D9D-9E87-73299274CC4E}" type="pres">
      <dgm:prSet presAssocID="{A69583F9-5D15-4541-8EF0-56355A3F96C0}" presName="parTxOnly" presStyleLbl="node1" presStyleIdx="2" presStyleCnt="7">
        <dgm:presLayoutVars>
          <dgm:chMax val="0"/>
          <dgm:chPref val="0"/>
          <dgm:bulletEnabled val="1"/>
        </dgm:presLayoutVars>
      </dgm:prSet>
      <dgm:spPr/>
      <dgm:t>
        <a:bodyPr/>
        <a:p>
          <a:endParaRPr lang="zh-CN" altLang="en-US"/>
        </a:p>
      </dgm:t>
    </dgm:pt>
    <dgm:pt modelId="{73E9941F-CB53-48A3-A665-3F633D1011CB}" type="pres">
      <dgm:prSet presAssocID="{D0F18108-9D35-419C-95B4-94A7A320F0F4}" presName="parTxOnlySpace" presStyleCnt="0"/>
      <dgm:spPr/>
    </dgm:pt>
    <dgm:pt modelId="{3F1EF0F3-449D-4FAF-AE43-744180AC3F41}" type="pres">
      <dgm:prSet presAssocID="{6D02F3A4-E917-47B4-8990-C64E76043E41}" presName="parTxOnly" presStyleLbl="node1" presStyleIdx="3" presStyleCnt="7">
        <dgm:presLayoutVars>
          <dgm:chMax val="0"/>
          <dgm:chPref val="0"/>
          <dgm:bulletEnabled val="1"/>
        </dgm:presLayoutVars>
      </dgm:prSet>
      <dgm:spPr/>
      <dgm:t>
        <a:bodyPr/>
        <a:p>
          <a:endParaRPr lang="zh-CN" altLang="en-US"/>
        </a:p>
      </dgm:t>
    </dgm:pt>
    <dgm:pt modelId="{6AFFD04B-DD15-4709-9405-3019098F41FC}" type="pres">
      <dgm:prSet presAssocID="{18D4C711-14E2-4AE9-9C73-16275CDEDC00}" presName="parTxOnlySpace" presStyleCnt="0"/>
      <dgm:spPr/>
    </dgm:pt>
    <dgm:pt modelId="{0F44E412-C9AC-48EF-AD9D-767A7496BFDE}" type="pres">
      <dgm:prSet presAssocID="{0B13D760-BC30-467C-AD4B-812186237C8E}" presName="parTxOnly" presStyleLbl="node1" presStyleIdx="4" presStyleCnt="7">
        <dgm:presLayoutVars>
          <dgm:chMax val="0"/>
          <dgm:chPref val="0"/>
          <dgm:bulletEnabled val="1"/>
        </dgm:presLayoutVars>
      </dgm:prSet>
      <dgm:spPr/>
      <dgm:t>
        <a:bodyPr/>
        <a:p>
          <a:endParaRPr lang="zh-CN" altLang="en-US"/>
        </a:p>
      </dgm:t>
    </dgm:pt>
    <dgm:pt modelId="{1600B974-98B5-4DC4-9DDE-6F9A0642D3CD}" type="pres">
      <dgm:prSet presAssocID="{969B186E-0F8B-4E3F-9547-C92D1A5D0434}" presName="parTxOnlySpace" presStyleCnt="0"/>
      <dgm:spPr/>
    </dgm:pt>
    <dgm:pt modelId="{6B45CA03-4DFD-4572-B20B-72D171F81E79}" type="pres">
      <dgm:prSet presAssocID="{2AEDF74A-C637-4E42-A91A-2283FAE0A71A}" presName="parTxOnly" presStyleLbl="node1" presStyleIdx="5" presStyleCnt="7">
        <dgm:presLayoutVars>
          <dgm:chMax val="0"/>
          <dgm:chPref val="0"/>
          <dgm:bulletEnabled val="1"/>
        </dgm:presLayoutVars>
      </dgm:prSet>
      <dgm:spPr/>
      <dgm:t>
        <a:bodyPr/>
        <a:p>
          <a:endParaRPr lang="zh-CN" altLang="en-US"/>
        </a:p>
      </dgm:t>
    </dgm:pt>
    <dgm:pt modelId="{1A3E0120-57E5-4236-A23E-135EBF38A3F5}" type="pres">
      <dgm:prSet presAssocID="{C1452C8F-184D-4793-8446-DF0364192537}" presName="parTxOnlySpace" presStyleCnt="0"/>
      <dgm:spPr/>
    </dgm:pt>
    <dgm:pt modelId="{94CAFE59-92DF-4C3B-B70E-90D9C65A63AB}" type="pres">
      <dgm:prSet presAssocID="{4A55EC64-B5AB-42D9-ACD4-FC0D6FED629D}" presName="parTxOnly" presStyleLbl="node1" presStyleIdx="6" presStyleCnt="7">
        <dgm:presLayoutVars>
          <dgm:chMax val="0"/>
          <dgm:chPref val="0"/>
          <dgm:bulletEnabled val="1"/>
        </dgm:presLayoutVars>
      </dgm:prSet>
      <dgm:spPr/>
      <dgm:t>
        <a:bodyPr/>
        <a:p>
          <a:endParaRPr lang="zh-CN" altLang="en-US"/>
        </a:p>
      </dgm:t>
    </dgm:pt>
  </dgm:ptLst>
  <dgm:cxnLst>
    <dgm:cxn modelId="{0EB48997-C358-4137-8D30-FF78D5F4195D}" srcId="{882975DE-CE6C-410B-81DB-0242BAF91906}" destId="{F1AA2F71-FC0A-4C45-9611-397361C471F6}" srcOrd="0" destOrd="0" parTransId="{A7D335A8-E386-42D2-A30B-06F0F9FA41C7}" sibTransId="{726DC6B3-BA3C-4D24-97AF-7A1DFED427FA}"/>
    <dgm:cxn modelId="{3EAF0860-1080-4862-8642-69E187A1DBCD}" type="presOf" srcId="{CF02E53B-98DD-4F7C-A803-20EC4EE0D9BA}" destId="{B26AE415-6147-4ADE-84DF-3F9729ACD8AC}" srcOrd="0" destOrd="0" presId="urn:microsoft.com/office/officeart/2005/8/layout/chevron1"/>
    <dgm:cxn modelId="{9589E718-68A3-4590-B6C5-58B1893F6BC4}" type="presOf" srcId="{4A55EC64-B5AB-42D9-ACD4-FC0D6FED629D}" destId="{94CAFE59-92DF-4C3B-B70E-90D9C65A63AB}" srcOrd="0" destOrd="0" presId="urn:microsoft.com/office/officeart/2005/8/layout/chevron1"/>
    <dgm:cxn modelId="{771F58F4-BA73-4068-9A45-D5C7D542F8DF}" srcId="{882975DE-CE6C-410B-81DB-0242BAF91906}" destId="{0B13D760-BC30-467C-AD4B-812186237C8E}" srcOrd="4" destOrd="0" parTransId="{0B6F84C3-4E03-43E6-95AF-62AFA029EE71}" sibTransId="{969B186E-0F8B-4E3F-9547-C92D1A5D0434}"/>
    <dgm:cxn modelId="{65590472-EC07-49CE-8525-4B40E899B6A6}" type="presOf" srcId="{882975DE-CE6C-410B-81DB-0242BAF91906}" destId="{41F9CB58-EA32-4805-8D3E-03A1299EE499}" srcOrd="0" destOrd="0" presId="urn:microsoft.com/office/officeart/2005/8/layout/chevron1"/>
    <dgm:cxn modelId="{61179209-093A-4CD0-A5B2-0C6EADACFA9B}" type="presOf" srcId="{2AEDF74A-C637-4E42-A91A-2283FAE0A71A}" destId="{6B45CA03-4DFD-4572-B20B-72D171F81E79}" srcOrd="0" destOrd="0" presId="urn:microsoft.com/office/officeart/2005/8/layout/chevron1"/>
    <dgm:cxn modelId="{E7835C06-92FB-453D-88DD-7B99C55F3DD0}" srcId="{882975DE-CE6C-410B-81DB-0242BAF91906}" destId="{CF02E53B-98DD-4F7C-A803-20EC4EE0D9BA}" srcOrd="1" destOrd="0" parTransId="{14EC2327-EB5F-4C45-977F-D7E689EE94F6}" sibTransId="{4C3250D2-2B00-488E-AD32-9D14676F472E}"/>
    <dgm:cxn modelId="{F98BA9C2-ACC4-412C-BE15-6C69150D5000}" srcId="{882975DE-CE6C-410B-81DB-0242BAF91906}" destId="{A69583F9-5D15-4541-8EF0-56355A3F96C0}" srcOrd="2" destOrd="0" parTransId="{01C5ADAE-2C7F-4EE1-B91E-533FB7CC5DCA}" sibTransId="{D0F18108-9D35-419C-95B4-94A7A320F0F4}"/>
    <dgm:cxn modelId="{D5E808A5-9A86-4ACA-9F51-8C0444C40555}" srcId="{882975DE-CE6C-410B-81DB-0242BAF91906}" destId="{6D02F3A4-E917-47B4-8990-C64E76043E41}" srcOrd="3" destOrd="0" parTransId="{E2E42018-8DE6-453D-BCF2-2183B6D7F145}" sibTransId="{18D4C711-14E2-4AE9-9C73-16275CDEDC00}"/>
    <dgm:cxn modelId="{B4A549F7-B619-4C3B-BDC6-A4B1A233B237}" srcId="{882975DE-CE6C-410B-81DB-0242BAF91906}" destId="{2AEDF74A-C637-4E42-A91A-2283FAE0A71A}" srcOrd="5" destOrd="0" parTransId="{49696CF0-8F29-4D07-92D2-D78A2A9ECBB1}" sibTransId="{C1452C8F-184D-4793-8446-DF0364192537}"/>
    <dgm:cxn modelId="{7CB3807E-7818-4330-90F2-F535A7CC112B}" type="presOf" srcId="{6D02F3A4-E917-47B4-8990-C64E76043E41}" destId="{3F1EF0F3-449D-4FAF-AE43-744180AC3F41}" srcOrd="0" destOrd="0" presId="urn:microsoft.com/office/officeart/2005/8/layout/chevron1"/>
    <dgm:cxn modelId="{B02594D7-D5B4-4D8A-83D0-F8F223788FA4}" type="presOf" srcId="{0B13D760-BC30-467C-AD4B-812186237C8E}" destId="{0F44E412-C9AC-48EF-AD9D-767A7496BFDE}" srcOrd="0" destOrd="0" presId="urn:microsoft.com/office/officeart/2005/8/layout/chevron1"/>
    <dgm:cxn modelId="{EAE2EB29-89B7-4075-919A-6DB7BAF11E8E}" srcId="{882975DE-CE6C-410B-81DB-0242BAF91906}" destId="{4A55EC64-B5AB-42D9-ACD4-FC0D6FED629D}" srcOrd="6" destOrd="0" parTransId="{4EEACA95-4443-49FC-8BCE-DA312C207EE5}" sibTransId="{C80887D9-5D9A-431F-9CDD-0AF0620933BA}"/>
    <dgm:cxn modelId="{7EEEE141-B6D2-458E-A8E5-55AD44145E34}" type="presOf" srcId="{A69583F9-5D15-4541-8EF0-56355A3F96C0}" destId="{13B3A931-9F8D-4D9D-9E87-73299274CC4E}" srcOrd="0" destOrd="0" presId="urn:microsoft.com/office/officeart/2005/8/layout/chevron1"/>
    <dgm:cxn modelId="{C52A13E9-6BF2-4DA0-8DC7-C8255094B1B5}" type="presOf" srcId="{F1AA2F71-FC0A-4C45-9611-397361C471F6}" destId="{EB818647-8E56-465D-B034-C2ADE4062358}" srcOrd="0" destOrd="0" presId="urn:microsoft.com/office/officeart/2005/8/layout/chevron1"/>
    <dgm:cxn modelId="{33EFEE51-1665-47F7-8628-4C37D832C1F3}" type="presParOf" srcId="{41F9CB58-EA32-4805-8D3E-03A1299EE499}" destId="{EB818647-8E56-465D-B034-C2ADE4062358}" srcOrd="0" destOrd="0" presId="urn:microsoft.com/office/officeart/2005/8/layout/chevron1"/>
    <dgm:cxn modelId="{1A062536-7638-40B8-B7CE-6E7D6B2D5897}" type="presParOf" srcId="{41F9CB58-EA32-4805-8D3E-03A1299EE499}" destId="{563DE613-F897-46BC-8185-E8F2DD9D6A5C}" srcOrd="1" destOrd="0" presId="urn:microsoft.com/office/officeart/2005/8/layout/chevron1"/>
    <dgm:cxn modelId="{57681EEB-8894-4DAA-830F-B350EEC5E0B1}" type="presParOf" srcId="{41F9CB58-EA32-4805-8D3E-03A1299EE499}" destId="{B26AE415-6147-4ADE-84DF-3F9729ACD8AC}" srcOrd="2" destOrd="0" presId="urn:microsoft.com/office/officeart/2005/8/layout/chevron1"/>
    <dgm:cxn modelId="{8066B247-1C22-4667-A5C3-29AA34432E0E}" type="presParOf" srcId="{41F9CB58-EA32-4805-8D3E-03A1299EE499}" destId="{0A997C73-1D7E-4EF2-9F4F-4D3E28C28B7F}" srcOrd="3" destOrd="0" presId="urn:microsoft.com/office/officeart/2005/8/layout/chevron1"/>
    <dgm:cxn modelId="{20B70E56-4138-42D2-A8E0-4266121C5904}" type="presParOf" srcId="{41F9CB58-EA32-4805-8D3E-03A1299EE499}" destId="{13B3A931-9F8D-4D9D-9E87-73299274CC4E}" srcOrd="4" destOrd="0" presId="urn:microsoft.com/office/officeart/2005/8/layout/chevron1"/>
    <dgm:cxn modelId="{7722F5EE-66E6-40AB-BD86-2E19CB35444D}" type="presParOf" srcId="{41F9CB58-EA32-4805-8D3E-03A1299EE499}" destId="{73E9941F-CB53-48A3-A665-3F633D1011CB}" srcOrd="5" destOrd="0" presId="urn:microsoft.com/office/officeart/2005/8/layout/chevron1"/>
    <dgm:cxn modelId="{73DFDB9A-1357-4E3E-A527-DE65B31A775D}" type="presParOf" srcId="{41F9CB58-EA32-4805-8D3E-03A1299EE499}" destId="{3F1EF0F3-449D-4FAF-AE43-744180AC3F41}" srcOrd="6" destOrd="0" presId="urn:microsoft.com/office/officeart/2005/8/layout/chevron1"/>
    <dgm:cxn modelId="{847CDE45-74E0-4C03-A920-99BB74C81407}" type="presParOf" srcId="{41F9CB58-EA32-4805-8D3E-03A1299EE499}" destId="{6AFFD04B-DD15-4709-9405-3019098F41FC}" srcOrd="7" destOrd="0" presId="urn:microsoft.com/office/officeart/2005/8/layout/chevron1"/>
    <dgm:cxn modelId="{D67711AF-2A02-49A2-834F-7CFE2970CA21}" type="presParOf" srcId="{41F9CB58-EA32-4805-8D3E-03A1299EE499}" destId="{0F44E412-C9AC-48EF-AD9D-767A7496BFDE}" srcOrd="8" destOrd="0" presId="urn:microsoft.com/office/officeart/2005/8/layout/chevron1"/>
    <dgm:cxn modelId="{8E8517E7-795E-422E-92DE-431CC8C575E3}" type="presParOf" srcId="{41F9CB58-EA32-4805-8D3E-03A1299EE499}" destId="{1600B974-98B5-4DC4-9DDE-6F9A0642D3CD}" srcOrd="9" destOrd="0" presId="urn:microsoft.com/office/officeart/2005/8/layout/chevron1"/>
    <dgm:cxn modelId="{D2013464-DB15-413A-9EFB-235438F6CB38}" type="presParOf" srcId="{41F9CB58-EA32-4805-8D3E-03A1299EE499}" destId="{6B45CA03-4DFD-4572-B20B-72D171F81E79}" srcOrd="10" destOrd="0" presId="urn:microsoft.com/office/officeart/2005/8/layout/chevron1"/>
    <dgm:cxn modelId="{453AC63E-B5D7-4732-845A-28C2B70F16D0}" type="presParOf" srcId="{41F9CB58-EA32-4805-8D3E-03A1299EE499}" destId="{1A3E0120-57E5-4236-A23E-135EBF38A3F5}" srcOrd="11" destOrd="0" presId="urn:microsoft.com/office/officeart/2005/8/layout/chevron1"/>
    <dgm:cxn modelId="{56113A83-FBE4-4CE1-B1E1-23CADAF83E59}" type="presParOf" srcId="{41F9CB58-EA32-4805-8D3E-03A1299EE499}" destId="{94CAFE59-92DF-4C3B-B70E-90D9C65A63AB}" srcOrd="12" destOrd="0" presId="urn:microsoft.com/office/officeart/2005/8/layout/chevron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6667500" cy="998855"/>
        <a:chOff x="0" y="0"/>
        <a:chExt cx="6667500" cy="998855"/>
      </a:xfrm>
    </dsp:grpSpPr>
    <dsp:sp modelId="{EB818647-8E56-465D-B034-C2ADE4062358}">
      <dsp:nvSpPr>
        <dsp:cNvPr id="3" name="燕尾形 2"/>
        <dsp:cNvSpPr/>
      </dsp:nvSpPr>
      <dsp:spPr bwMode="white">
        <a:xfrm>
          <a:off x="0" y="291068"/>
          <a:ext cx="1041797" cy="416719"/>
        </a:xfrm>
        <a:prstGeom prst="chevron">
          <a:avLst/>
        </a:prstGeom>
        <a:noFill/>
        <a:ln>
          <a:solidFill>
            <a:srgbClr val="000000"/>
          </a:solidFill>
        </a:ln>
      </dsp:spPr>
      <dsp:style>
        <a:lnRef idx="2">
          <a:srgbClr val="FFFFFF"/>
        </a:lnRef>
        <a:fillRef idx="1">
          <a:srgbClr val="5B9BD5"/>
        </a:fillRef>
        <a:effectRef idx="0">
          <a:scrgbClr r="0" g="0" b="0"/>
        </a:effectRef>
        <a:fontRef idx="minor">
          <a:srgbClr val="FFFFFF"/>
        </a:fontRef>
      </dsp:style>
      <dsp:txBody>
        <a:bodyPr lIns="44005" tIns="14668" rIns="14668" bIns="14668"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100">
              <a:solidFill>
                <a:sysClr val="windowText" lastClr="000000"/>
              </a:solidFill>
            </a:rPr>
            <a:t>简历投递</a:t>
          </a:r>
        </a:p>
      </dsp:txBody>
      <dsp:txXfrm>
        <a:off x="0" y="291068"/>
        <a:ext cx="1041797" cy="416719"/>
      </dsp:txXfrm>
    </dsp:sp>
    <dsp:sp modelId="{B26AE415-6147-4ADE-84DF-3F9729ACD8AC}">
      <dsp:nvSpPr>
        <dsp:cNvPr id="4" name="燕尾形 3"/>
        <dsp:cNvSpPr/>
      </dsp:nvSpPr>
      <dsp:spPr bwMode="white">
        <a:xfrm>
          <a:off x="937617" y="291068"/>
          <a:ext cx="1041797" cy="416719"/>
        </a:xfrm>
        <a:prstGeom prst="chevron">
          <a:avLst/>
        </a:prstGeom>
        <a:noFill/>
        <a:ln>
          <a:solidFill>
            <a:srgbClr val="000000"/>
          </a:solidFill>
        </a:ln>
      </dsp:spPr>
      <dsp:style>
        <a:lnRef idx="2">
          <a:srgbClr val="FFFFFF"/>
        </a:lnRef>
        <a:fillRef idx="1">
          <a:srgbClr val="5B9BD5"/>
        </a:fillRef>
        <a:effectRef idx="0">
          <a:scrgbClr r="0" g="0" b="0"/>
        </a:effectRef>
        <a:fontRef idx="minor">
          <a:srgbClr val="FFFFFF"/>
        </a:fontRef>
      </dsp:style>
      <dsp:txBody>
        <a:bodyPr lIns="44005" tIns="14668" rIns="14668" bIns="14668"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100">
              <a:solidFill>
                <a:sysClr val="windowText" lastClr="000000"/>
              </a:solidFill>
            </a:rPr>
            <a:t>简历筛选</a:t>
          </a:r>
        </a:p>
      </dsp:txBody>
      <dsp:txXfrm>
        <a:off x="937617" y="291068"/>
        <a:ext cx="1041797" cy="416719"/>
      </dsp:txXfrm>
    </dsp:sp>
    <dsp:sp modelId="{13B3A931-9F8D-4D9D-9E87-73299274CC4E}">
      <dsp:nvSpPr>
        <dsp:cNvPr id="5" name="燕尾形 4"/>
        <dsp:cNvSpPr/>
      </dsp:nvSpPr>
      <dsp:spPr bwMode="white">
        <a:xfrm>
          <a:off x="1875234" y="291068"/>
          <a:ext cx="1041797" cy="416719"/>
        </a:xfrm>
        <a:prstGeom prst="chevron">
          <a:avLst/>
        </a:prstGeom>
        <a:noFill/>
        <a:ln>
          <a:solidFill>
            <a:srgbClr val="000000"/>
          </a:solidFill>
        </a:ln>
      </dsp:spPr>
      <dsp:style>
        <a:lnRef idx="2">
          <a:srgbClr val="FFFFFF"/>
        </a:lnRef>
        <a:fillRef idx="1">
          <a:srgbClr val="5B9BD5"/>
        </a:fillRef>
        <a:effectRef idx="0">
          <a:scrgbClr r="0" g="0" b="0"/>
        </a:effectRef>
        <a:fontRef idx="minor">
          <a:srgbClr val="FFFFFF"/>
        </a:fontRef>
      </dsp:style>
      <dsp:txBody>
        <a:bodyPr lIns="44005" tIns="14668" rIns="14668" bIns="14668"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100">
              <a:solidFill>
                <a:sysClr val="windowText" lastClr="000000"/>
              </a:solidFill>
            </a:rPr>
            <a:t>一面考核</a:t>
          </a:r>
        </a:p>
      </dsp:txBody>
      <dsp:txXfrm>
        <a:off x="1875234" y="291068"/>
        <a:ext cx="1041797" cy="416719"/>
      </dsp:txXfrm>
    </dsp:sp>
    <dsp:sp modelId="{3F1EF0F3-449D-4FAF-AE43-744180AC3F41}">
      <dsp:nvSpPr>
        <dsp:cNvPr id="6" name="燕尾形 5"/>
        <dsp:cNvSpPr/>
      </dsp:nvSpPr>
      <dsp:spPr bwMode="white">
        <a:xfrm>
          <a:off x="2812852" y="291068"/>
          <a:ext cx="1041797" cy="416719"/>
        </a:xfrm>
        <a:prstGeom prst="chevron">
          <a:avLst/>
        </a:prstGeom>
        <a:noFill/>
        <a:ln>
          <a:solidFill>
            <a:srgbClr val="000000"/>
          </a:solidFill>
        </a:ln>
      </dsp:spPr>
      <dsp:style>
        <a:lnRef idx="2">
          <a:srgbClr val="FFFFFF"/>
        </a:lnRef>
        <a:fillRef idx="1">
          <a:srgbClr val="5B9BD5"/>
        </a:fillRef>
        <a:effectRef idx="0">
          <a:scrgbClr r="0" g="0" b="0"/>
        </a:effectRef>
        <a:fontRef idx="minor">
          <a:srgbClr val="FFFFFF"/>
        </a:fontRef>
      </dsp:style>
      <dsp:txBody>
        <a:bodyPr lIns="44005" tIns="14668" rIns="14668" bIns="14668"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100">
              <a:solidFill>
                <a:sysClr val="windowText" lastClr="000000"/>
              </a:solidFill>
            </a:rPr>
            <a:t>统一笔试</a:t>
          </a:r>
        </a:p>
      </dsp:txBody>
      <dsp:txXfrm>
        <a:off x="2812852" y="291068"/>
        <a:ext cx="1041797" cy="416719"/>
      </dsp:txXfrm>
    </dsp:sp>
    <dsp:sp modelId="{0F44E412-C9AC-48EF-AD9D-767A7496BFDE}">
      <dsp:nvSpPr>
        <dsp:cNvPr id="7" name="燕尾形 6"/>
        <dsp:cNvSpPr/>
      </dsp:nvSpPr>
      <dsp:spPr bwMode="white">
        <a:xfrm>
          <a:off x="3750469" y="291068"/>
          <a:ext cx="1041797" cy="416719"/>
        </a:xfrm>
        <a:prstGeom prst="chevron">
          <a:avLst/>
        </a:prstGeom>
        <a:noFill/>
        <a:ln>
          <a:solidFill>
            <a:srgbClr val="000000"/>
          </a:solidFill>
        </a:ln>
      </dsp:spPr>
      <dsp:style>
        <a:lnRef idx="2">
          <a:srgbClr val="FFFFFF"/>
        </a:lnRef>
        <a:fillRef idx="1">
          <a:srgbClr val="5B9BD5"/>
        </a:fillRef>
        <a:effectRef idx="0">
          <a:scrgbClr r="0" g="0" b="0"/>
        </a:effectRef>
        <a:fontRef idx="minor">
          <a:srgbClr val="FFFFFF"/>
        </a:fontRef>
      </dsp:style>
      <dsp:txBody>
        <a:bodyPr lIns="44005" tIns="14668" rIns="14668" bIns="14668"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100">
              <a:solidFill>
                <a:sysClr val="windowText" lastClr="000000"/>
              </a:solidFill>
            </a:rPr>
            <a:t>二面考核</a:t>
          </a:r>
        </a:p>
      </dsp:txBody>
      <dsp:txXfrm>
        <a:off x="3750469" y="291068"/>
        <a:ext cx="1041797" cy="416719"/>
      </dsp:txXfrm>
    </dsp:sp>
    <dsp:sp modelId="{6B45CA03-4DFD-4572-B20B-72D171F81E79}">
      <dsp:nvSpPr>
        <dsp:cNvPr id="8" name="燕尾形 7"/>
        <dsp:cNvSpPr/>
      </dsp:nvSpPr>
      <dsp:spPr bwMode="white">
        <a:xfrm>
          <a:off x="4688086" y="291068"/>
          <a:ext cx="1041797" cy="416719"/>
        </a:xfrm>
        <a:prstGeom prst="chevron">
          <a:avLst/>
        </a:prstGeom>
      </dsp:spPr>
      <dsp:style>
        <a:lnRef idx="2">
          <a:srgbClr val="000000"/>
        </a:lnRef>
        <a:fillRef idx="1">
          <a:srgbClr val="FFFFFF"/>
        </a:fillRef>
        <a:effectRef idx="0">
          <a:srgbClr val="000000"/>
        </a:effectRef>
        <a:fontRef idx="minor">
          <a:srgbClr val="000000"/>
        </a:fontRef>
      </dsp:style>
      <dsp:txBody>
        <a:bodyPr lIns="44005" tIns="14668" rIns="14668" bIns="14668"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100">
              <a:solidFill>
                <a:sysClr val="windowText" lastClr="000000"/>
              </a:solidFill>
            </a:rPr>
            <a:t>终面</a:t>
          </a:r>
        </a:p>
      </dsp:txBody>
      <dsp:txXfrm>
        <a:off x="4688086" y="291068"/>
        <a:ext cx="1041797" cy="416719"/>
      </dsp:txXfrm>
    </dsp:sp>
    <dsp:sp modelId="{94CAFE59-92DF-4C3B-B70E-90D9C65A63AB}">
      <dsp:nvSpPr>
        <dsp:cNvPr id="9" name="燕尾形 8"/>
        <dsp:cNvSpPr/>
      </dsp:nvSpPr>
      <dsp:spPr bwMode="white">
        <a:xfrm>
          <a:off x="5625703" y="291068"/>
          <a:ext cx="1041797" cy="416719"/>
        </a:xfrm>
        <a:prstGeom prst="chevron">
          <a:avLst/>
        </a:prstGeom>
      </dsp:spPr>
      <dsp:style>
        <a:lnRef idx="2">
          <a:srgbClr val="000000"/>
        </a:lnRef>
        <a:fillRef idx="1">
          <a:srgbClr val="FFFFFF"/>
        </a:fillRef>
        <a:effectRef idx="0">
          <a:srgbClr val="000000"/>
        </a:effectRef>
        <a:fontRef idx="minor">
          <a:srgbClr val="000000"/>
        </a:fontRef>
      </dsp:style>
      <dsp:txBody>
        <a:bodyPr lIns="44005" tIns="14668" rIns="14668" bIns="14668"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100">
              <a:solidFill>
                <a:sysClr val="windowText" lastClr="000000"/>
              </a:solidFill>
            </a:rPr>
            <a:t>录用通知</a:t>
          </a:r>
        </a:p>
      </dsp:txBody>
      <dsp:txXfrm>
        <a:off x="5625703" y="291068"/>
        <a:ext cx="1041797" cy="41671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type="chevron" r:blip="" rot="180">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type="chevron" r:blip="" rot="180">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rgbClr val="FFFFFF"/>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rgbClr val="FFFFFF"/>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rgbClr val="FFFFFF"/>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rgbClr val="000000"/>
      </a:fontRef>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2039</Words>
  <Characters>2155</Characters>
  <Lines>15</Lines>
  <Paragraphs>4</Paragraphs>
  <TotalTime>99</TotalTime>
  <ScaleCrop>false</ScaleCrop>
  <LinksUpToDate>false</LinksUpToDate>
  <CharactersWithSpaces>2164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2023-02-08T02:40:00Z</dcterms:created>
  <dc:creator>01220193/刘继岭</dc:creator>
  <cp:lastModifiedBy>米粒粒子</cp:lastModifiedBy>
  <dcterms:modified xsi:type="dcterms:W3CDTF">2024-09-09T05:06:01Z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E1D69609020049AFA17A4366E3B3F241</vt:lpwstr>
  </property>
</Properties>
</file>