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9D9C0">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Times New Roman" w:hAnsi="Times New Roman" w:eastAsia="方正小标宋简体" w:cs="Times New Roman"/>
          <w:b w:val="0"/>
          <w:bCs/>
          <w:sz w:val="44"/>
          <w:szCs w:val="44"/>
        </w:rPr>
      </w:pPr>
      <w:bookmarkStart w:id="0" w:name="_Hlk479604846"/>
      <w:bookmarkEnd w:id="0"/>
      <w:r>
        <w:rPr>
          <w:rFonts w:hint="default" w:ascii="Times New Roman" w:hAnsi="Times New Roman" w:eastAsia="方正小标宋简体" w:cs="Times New Roman"/>
          <w:b w:val="0"/>
          <w:bCs/>
          <w:sz w:val="44"/>
          <w:szCs w:val="44"/>
        </w:rPr>
        <w:t>浙江交工集团股份有限公司</w:t>
      </w:r>
    </w:p>
    <w:p w14:paraId="5EE88ED8">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eastAsia="黑体"/>
          <w:lang w:val="en-US" w:eastAsia="zh-CN"/>
        </w:rPr>
      </w:pPr>
      <w:r>
        <w:rPr>
          <w:rFonts w:hint="eastAsia" w:eastAsia="方正小标宋简体" w:cs="Times New Roman"/>
          <w:b w:val="0"/>
          <w:bCs/>
          <w:sz w:val="44"/>
          <w:szCs w:val="44"/>
          <w:lang w:val="en-US" w:eastAsia="zh-CN"/>
        </w:rPr>
        <w:t>2025届秋季校园招聘公告</w:t>
      </w:r>
    </w:p>
    <w:p w14:paraId="4DF9B6FB">
      <w:pPr>
        <w:pStyle w:val="2"/>
        <w:bidi w:val="0"/>
        <w:rPr>
          <w:rFonts w:hint="eastAsia"/>
        </w:rPr>
      </w:pPr>
    </w:p>
    <w:p w14:paraId="68B70805">
      <w:pPr>
        <w:pStyle w:val="2"/>
        <w:bidi w:val="0"/>
      </w:pPr>
      <w:r>
        <w:rPr>
          <w:rFonts w:hint="eastAsia"/>
        </w:rPr>
        <w:t>一、集团简介</w:t>
      </w:r>
    </w:p>
    <w:p w14:paraId="631DFD96">
      <w:pPr>
        <w:bidi w:val="0"/>
      </w:pPr>
      <w:r>
        <w:rPr>
          <w:rFonts w:hint="eastAsia"/>
        </w:rPr>
        <w:t>浙江交工集团股份有限公司，前身是1953年5月成立的华东第二公路工程纵队及机构改革形成的省交通厅公路局所属工程队，2001年11月成为世界500强企业-浙江省交通投资集团有限公司下属子公司，2017年11月成功实现重组上市。</w:t>
      </w:r>
    </w:p>
    <w:p w14:paraId="7AFA8065">
      <w:pPr>
        <w:bidi w:val="0"/>
        <w:rPr>
          <w:rFonts w:hint="eastAsia" w:eastAsia="仿宋_GB2312"/>
          <w:lang w:eastAsia="zh-CN"/>
        </w:rPr>
      </w:pPr>
      <w:r>
        <w:rPr>
          <w:rFonts w:hint="eastAsia"/>
        </w:rPr>
        <w:t>经过70余年的创业创新，浙江交工旗下拥有全资子公司11家、国内分公司7家、控股子公司9家、参股公司29家、海外子分公司16家</w:t>
      </w:r>
      <w:r>
        <w:rPr>
          <w:rFonts w:hint="eastAsia"/>
          <w:lang w:eastAsia="zh-CN"/>
        </w:rPr>
        <w:t>，</w:t>
      </w:r>
      <w:r>
        <w:rPr>
          <w:rFonts w:hint="default"/>
        </w:rPr>
        <w:t>经营管理和专业技术员超8000名</w:t>
      </w:r>
      <w:r>
        <w:rPr>
          <w:rFonts w:hint="eastAsia"/>
          <w:lang w:eastAsia="zh-CN"/>
        </w:rPr>
        <w:t>。</w:t>
      </w:r>
    </w:p>
    <w:p w14:paraId="332F14EB">
      <w:pPr>
        <w:bidi w:val="0"/>
      </w:pPr>
      <w:r>
        <w:rPr>
          <w:rFonts w:hint="eastAsia"/>
        </w:rPr>
        <w:t>浙江交工坚持以交通工程建设为主业，已发展</w:t>
      </w:r>
      <w:r>
        <w:rPr>
          <w:rFonts w:hint="eastAsia"/>
          <w:lang w:val="en-US" w:eastAsia="zh-CN"/>
        </w:rPr>
        <w:t>成</w:t>
      </w:r>
      <w:r>
        <w:rPr>
          <w:rFonts w:hint="eastAsia"/>
        </w:rPr>
        <w:t>为设计、施工、养护、投融资一体化的综合承包商，拥有公路工程施工总承包特级资质、公路行业工程设计甲级资质、工程勘察专业类岩土工程甲级资质、公路总承包一级资质、建筑总承包一级资质、市政总承包一级资质、港航总承包二级资质、公路养护资质，咨询、园林设计、试验检测、交安设施、地灾治理、照明等专业甲级或一级资质30余个</w:t>
      </w:r>
      <w:r>
        <w:rPr>
          <w:rFonts w:hint="eastAsia"/>
          <w:lang w:eastAsia="zh-CN"/>
        </w:rPr>
        <w:t>，</w:t>
      </w:r>
      <w:r>
        <w:rPr>
          <w:rFonts w:hint="eastAsia"/>
        </w:rPr>
        <w:t>形成</w:t>
      </w:r>
      <w:r>
        <w:rPr>
          <w:rFonts w:hint="eastAsia"/>
          <w:lang w:eastAsia="zh-CN"/>
        </w:rPr>
        <w:t>了</w:t>
      </w:r>
      <w:r>
        <w:rPr>
          <w:rFonts w:hint="eastAsia"/>
        </w:rPr>
        <w:t>“施工主业、养护专业、关联产业”三大业务板块发展格局。</w:t>
      </w:r>
    </w:p>
    <w:p w14:paraId="3D3243AF">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浙江交工锐意改革、跨越发展，年新签合同额逾</w:t>
      </w:r>
      <w:r>
        <w:rPr>
          <w:rFonts w:hint="eastAsia"/>
          <w:lang w:val="en-US" w:eastAsia="zh-CN"/>
        </w:rPr>
        <w:t>1000</w:t>
      </w:r>
      <w:r>
        <w:rPr>
          <w:rFonts w:hint="eastAsia"/>
        </w:rPr>
        <w:t>亿，在建项目体量超千亿，业务遍布国内31个省市自治区（港澳台除外）、海外20个国家。承建工程获“詹天佑奖”“鲁班奖”“国家优质工程奖”等省部级及以上各类奖项600余项，连续八年获评ENR“全球最大250家国际承包商”，位列2023年中国建筑业综合百强第60名、中国承包商80强第28名、浙江省建筑业企业综合实力第4名。</w:t>
      </w:r>
    </w:p>
    <w:p w14:paraId="3DECE80E">
      <w:pPr>
        <w:keepNext w:val="0"/>
        <w:keepLines w:val="0"/>
        <w:pageBreakBefore w:val="0"/>
        <w:widowControl w:val="0"/>
        <w:kinsoku/>
        <w:wordWrap/>
        <w:overflowPunct/>
        <w:topLinePunct w:val="0"/>
        <w:autoSpaceDE/>
        <w:autoSpaceDN/>
        <w:bidi w:val="0"/>
        <w:adjustRightInd/>
        <w:snapToGrid/>
        <w:textAlignment w:val="auto"/>
        <w:rPr>
          <w:rFonts w:hint="eastAsia" w:eastAsia="仿宋_GB2312"/>
          <w:lang w:eastAsia="zh-CN"/>
        </w:rPr>
      </w:pPr>
      <w:r>
        <w:rPr>
          <w:rFonts w:hint="eastAsia" w:eastAsia="仿宋_GB2312"/>
          <w:lang w:eastAsia="zh-CN"/>
        </w:rPr>
        <w:drawing>
          <wp:anchor distT="0" distB="0" distL="114300" distR="114300" simplePos="0" relativeHeight="251666432" behindDoc="0" locked="0" layoutInCell="1" allowOverlap="1">
            <wp:simplePos x="0" y="0"/>
            <wp:positionH relativeFrom="column">
              <wp:posOffset>232410</wp:posOffset>
            </wp:positionH>
            <wp:positionV relativeFrom="paragraph">
              <wp:posOffset>75565</wp:posOffset>
            </wp:positionV>
            <wp:extent cx="5778500" cy="3884295"/>
            <wp:effectExtent l="0" t="0" r="12700" b="1905"/>
            <wp:wrapTopAndBottom/>
            <wp:docPr id="9" name="图片 9" descr="鸟瞰 屋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鸟瞰 屋顶"/>
                    <pic:cNvPicPr>
                      <a:picLocks noChangeAspect="1"/>
                    </pic:cNvPicPr>
                  </pic:nvPicPr>
                  <pic:blipFill>
                    <a:blip r:embed="rId7"/>
                    <a:stretch>
                      <a:fillRect/>
                    </a:stretch>
                  </pic:blipFill>
                  <pic:spPr>
                    <a:xfrm>
                      <a:off x="0" y="0"/>
                      <a:ext cx="5778500" cy="3884295"/>
                    </a:xfrm>
                    <a:prstGeom prst="rect">
                      <a:avLst/>
                    </a:prstGeom>
                  </pic:spPr>
                </pic:pic>
              </a:graphicData>
            </a:graphic>
          </wp:anchor>
        </w:drawing>
      </w:r>
    </w:p>
    <w:p w14:paraId="427EB9A8">
      <w:pPr>
        <w:pStyle w:val="2"/>
        <w:bidi w:val="0"/>
      </w:pPr>
      <w:r>
        <w:rPr>
          <w:rFonts w:hint="eastAsia"/>
        </w:rPr>
        <w:t>二、企业文化</w:t>
      </w:r>
    </w:p>
    <w:p w14:paraId="7ED090C9">
      <w:pPr>
        <w:bidi w:val="0"/>
      </w:pPr>
      <w:r>
        <w:rPr>
          <w:rFonts w:hint="eastAsia"/>
        </w:rPr>
        <w:t>企业愿景：成为国际领先的基础设施领域综合方案提供商。</w:t>
      </w:r>
    </w:p>
    <w:p w14:paraId="16473661">
      <w:pPr>
        <w:bidi w:val="0"/>
      </w:pPr>
      <w:r>
        <w:rPr>
          <w:rFonts w:hint="eastAsia"/>
        </w:rPr>
        <w:t>企业理念：道筑至诚，德贯八方。</w:t>
      </w:r>
    </w:p>
    <w:p w14:paraId="2DEBC4E1">
      <w:pPr>
        <w:bidi w:val="0"/>
      </w:pPr>
      <w:r>
        <w:rPr>
          <w:rFonts w:hint="eastAsia"/>
        </w:rPr>
        <w:t>企业精神：“不怕吃苦，就怕没苦吃”的拼搏精神、“不怕待遇少增长，就怕事业不发展”的奉献精神、“上下同欲，相互补台”的团队精神、“亲自抓，马上办”的强执行文化。</w:t>
      </w:r>
    </w:p>
    <w:p w14:paraId="0A80672D">
      <w:pPr>
        <w:bidi w:val="0"/>
      </w:pPr>
      <w:r>
        <w:rPr>
          <w:rFonts w:hint="eastAsia"/>
        </w:rPr>
        <w:t>交工好生态：澎湃向上的创业激情，务实高效的工作作风，和谐单纯的人际关系，崇俭戒奢的生活方式。</w:t>
      </w:r>
    </w:p>
    <w:p w14:paraId="7B3FFAA7">
      <w:pPr>
        <w:spacing w:line="460" w:lineRule="exact"/>
        <w:rPr>
          <w:rFonts w:ascii="仿宋" w:hAnsi="宋体" w:eastAsia="仿宋"/>
          <w:b/>
          <w:sz w:val="28"/>
          <w:szCs w:val="28"/>
        </w:rPr>
      </w:pPr>
      <w:r>
        <w:rPr>
          <w:rFonts w:hint="eastAsia" w:ascii="仿宋" w:hAnsi="宋体" w:eastAsia="仿宋"/>
          <w:b/>
          <w:sz w:val="28"/>
          <w:szCs w:val="28"/>
        </w:rPr>
        <w:t xml:space="preserve">  </w:t>
      </w:r>
      <w:r>
        <w:rPr>
          <w:rStyle w:val="19"/>
          <w:rFonts w:hint="eastAsia"/>
        </w:rPr>
        <w:t>三、招聘要求</w:t>
      </w:r>
    </w:p>
    <w:p w14:paraId="7BC1068C">
      <w:pPr>
        <w:bidi w:val="0"/>
      </w:pPr>
      <w:r>
        <w:rPr>
          <w:rFonts w:hint="eastAsia"/>
        </w:rPr>
        <w:t xml:space="preserve">1.本科及以上学历。 </w:t>
      </w:r>
    </w:p>
    <w:p w14:paraId="1C3BA8B2">
      <w:pPr>
        <w:bidi w:val="0"/>
      </w:pPr>
      <w:r>
        <w:rPr>
          <w:rFonts w:hint="eastAsia"/>
        </w:rPr>
        <w:t xml:space="preserve">2.身体健康，有志在交通建设行业生产一线从事项目管理工作。 </w:t>
      </w:r>
    </w:p>
    <w:p w14:paraId="2ACDA28F">
      <w:pPr>
        <w:bidi w:val="0"/>
      </w:pPr>
      <w:r>
        <w:rPr>
          <w:rFonts w:hint="eastAsia"/>
        </w:rPr>
        <w:t xml:space="preserve">3.具备良好的道德修养、扎实的专业知识、较强的实践能力。 </w:t>
      </w:r>
    </w:p>
    <w:p w14:paraId="37485697">
      <w:pPr>
        <w:bidi w:val="0"/>
      </w:pPr>
      <w:r>
        <w:rPr>
          <w:rFonts w:hint="eastAsia"/>
        </w:rPr>
        <w:t>4.具备</w:t>
      </w:r>
      <w:r>
        <w:rPr>
          <w:rFonts w:hint="eastAsia"/>
          <w:lang w:val="en-US" w:eastAsia="zh-CN"/>
        </w:rPr>
        <w:t>良</w:t>
      </w:r>
      <w:r>
        <w:rPr>
          <w:rFonts w:hint="eastAsia"/>
        </w:rPr>
        <w:t xml:space="preserve">好的理解、沟通和组织能力，具有较强团队协作和吃苦耐劳精神，服从分配。 </w:t>
      </w:r>
    </w:p>
    <w:p w14:paraId="63E27121">
      <w:pPr>
        <w:bidi w:val="0"/>
      </w:pPr>
      <w:r>
        <w:rPr>
          <w:rFonts w:hint="eastAsia"/>
        </w:rPr>
        <w:t>5.应届毕业生：中共党员、具有学生会、社团、社会实践、校外实习经验者优先。</w:t>
      </w:r>
    </w:p>
    <w:p w14:paraId="3C7C9116">
      <w:pPr>
        <w:pStyle w:val="2"/>
        <w:bidi w:val="0"/>
      </w:pPr>
      <w:r>
        <w:rPr>
          <w:rFonts w:hint="eastAsia"/>
        </w:rPr>
        <w:t>四、招聘岗位</w:t>
      </w:r>
    </w:p>
    <w:p w14:paraId="46FCAF94">
      <w:pPr>
        <w:bidi w:val="0"/>
      </w:pPr>
      <w:r>
        <w:rPr>
          <w:rFonts w:hint="eastAsia"/>
        </w:rPr>
        <w:t>因公路桥梁、铁路、港航、地下工程、房建、装备、国际工程施工及养护、设计等业务发展需要，诚聘各类专业应届毕业生，专业岗位需求如下：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314"/>
        <w:gridCol w:w="1210"/>
        <w:gridCol w:w="4824"/>
      </w:tblGrid>
      <w:tr w14:paraId="0916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exact"/>
          <w:jc w:val="center"/>
        </w:trPr>
        <w:tc>
          <w:tcPr>
            <w:tcW w:w="757" w:type="dxa"/>
            <w:vAlign w:val="center"/>
          </w:tcPr>
          <w:p w14:paraId="27F0E0E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序号</w:t>
            </w:r>
          </w:p>
        </w:tc>
        <w:tc>
          <w:tcPr>
            <w:tcW w:w="2314" w:type="dxa"/>
            <w:vAlign w:val="center"/>
          </w:tcPr>
          <w:p w14:paraId="04AC625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岗位</w:t>
            </w:r>
          </w:p>
        </w:tc>
        <w:tc>
          <w:tcPr>
            <w:tcW w:w="1210" w:type="dxa"/>
            <w:vAlign w:val="center"/>
          </w:tcPr>
          <w:p w14:paraId="08B8FA0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学历</w:t>
            </w:r>
          </w:p>
        </w:tc>
        <w:tc>
          <w:tcPr>
            <w:tcW w:w="4824" w:type="dxa"/>
            <w:vAlign w:val="center"/>
          </w:tcPr>
          <w:p w14:paraId="55B381C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招聘专业</w:t>
            </w:r>
          </w:p>
        </w:tc>
      </w:tr>
      <w:tr w14:paraId="787F7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757" w:type="dxa"/>
            <w:vAlign w:val="center"/>
          </w:tcPr>
          <w:p w14:paraId="7EEE342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1</w:t>
            </w:r>
          </w:p>
        </w:tc>
        <w:tc>
          <w:tcPr>
            <w:tcW w:w="2314" w:type="dxa"/>
            <w:vAlign w:val="center"/>
          </w:tcPr>
          <w:p w14:paraId="332352A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土木工程</w:t>
            </w:r>
          </w:p>
        </w:tc>
        <w:tc>
          <w:tcPr>
            <w:tcW w:w="1210" w:type="dxa"/>
            <w:vAlign w:val="center"/>
          </w:tcPr>
          <w:p w14:paraId="70C25D6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本科</w:t>
            </w:r>
          </w:p>
        </w:tc>
        <w:tc>
          <w:tcPr>
            <w:tcW w:w="4824" w:type="dxa"/>
            <w:vAlign w:val="center"/>
          </w:tcPr>
          <w:p w14:paraId="33E9D15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rPr>
              <w:t>公路工程、桥梁工程、建筑工程、工程管理、智能制造等</w:t>
            </w:r>
            <w:r>
              <w:rPr>
                <w:rFonts w:hint="eastAsia" w:ascii="仿宋_GB2312" w:hAnsi="仿宋_GB2312" w:cs="仿宋_GB2312"/>
                <w:b w:val="0"/>
                <w:bCs/>
                <w:sz w:val="24"/>
                <w:szCs w:val="24"/>
                <w:lang w:val="en-US" w:eastAsia="zh-CN"/>
              </w:rPr>
              <w:t>相关专业</w:t>
            </w:r>
          </w:p>
        </w:tc>
      </w:tr>
      <w:tr w14:paraId="1FFA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exact"/>
          <w:jc w:val="center"/>
        </w:trPr>
        <w:tc>
          <w:tcPr>
            <w:tcW w:w="757" w:type="dxa"/>
            <w:vAlign w:val="center"/>
          </w:tcPr>
          <w:p w14:paraId="3EC5082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2</w:t>
            </w:r>
          </w:p>
        </w:tc>
        <w:tc>
          <w:tcPr>
            <w:tcW w:w="2314" w:type="dxa"/>
            <w:vAlign w:val="center"/>
          </w:tcPr>
          <w:p w14:paraId="1F2395F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隧道与地下工程</w:t>
            </w:r>
          </w:p>
        </w:tc>
        <w:tc>
          <w:tcPr>
            <w:tcW w:w="1210" w:type="dxa"/>
            <w:vAlign w:val="center"/>
          </w:tcPr>
          <w:p w14:paraId="4EC1378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本科</w:t>
            </w:r>
          </w:p>
        </w:tc>
        <w:tc>
          <w:tcPr>
            <w:tcW w:w="4824" w:type="dxa"/>
            <w:vAlign w:val="center"/>
          </w:tcPr>
          <w:p w14:paraId="62232B7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rPr>
              <w:t>隧道与地下工程、岩土工程、地下空间、市政工程、采矿工程等</w:t>
            </w:r>
            <w:r>
              <w:rPr>
                <w:rFonts w:hint="eastAsia" w:ascii="仿宋_GB2312" w:hAnsi="仿宋_GB2312" w:cs="仿宋_GB2312"/>
                <w:b w:val="0"/>
                <w:bCs/>
                <w:sz w:val="24"/>
                <w:szCs w:val="24"/>
                <w:lang w:val="en-US" w:eastAsia="zh-CN"/>
              </w:rPr>
              <w:t>相关专业</w:t>
            </w:r>
          </w:p>
        </w:tc>
      </w:tr>
      <w:tr w14:paraId="37A6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757" w:type="dxa"/>
            <w:vAlign w:val="center"/>
          </w:tcPr>
          <w:p w14:paraId="0AD5B3A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3</w:t>
            </w:r>
          </w:p>
        </w:tc>
        <w:tc>
          <w:tcPr>
            <w:tcW w:w="2314" w:type="dxa"/>
            <w:vAlign w:val="center"/>
          </w:tcPr>
          <w:p w14:paraId="1B1FC07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铁路工程</w:t>
            </w:r>
          </w:p>
        </w:tc>
        <w:tc>
          <w:tcPr>
            <w:tcW w:w="1210" w:type="dxa"/>
            <w:vAlign w:val="center"/>
          </w:tcPr>
          <w:p w14:paraId="7C8DE98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本科</w:t>
            </w:r>
          </w:p>
        </w:tc>
        <w:tc>
          <w:tcPr>
            <w:tcW w:w="4824" w:type="dxa"/>
            <w:vAlign w:val="center"/>
          </w:tcPr>
          <w:p w14:paraId="7C63425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铁道工程、铁路自动化控制等</w:t>
            </w:r>
            <w:r>
              <w:rPr>
                <w:rFonts w:hint="eastAsia" w:ascii="仿宋_GB2312" w:hAnsi="仿宋_GB2312" w:cs="仿宋_GB2312"/>
                <w:b w:val="0"/>
                <w:bCs/>
                <w:sz w:val="24"/>
                <w:szCs w:val="24"/>
                <w:lang w:val="en-US" w:eastAsia="zh-CN"/>
              </w:rPr>
              <w:t>相关专业</w:t>
            </w:r>
          </w:p>
        </w:tc>
      </w:tr>
      <w:tr w14:paraId="3DF6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757" w:type="dxa"/>
            <w:vAlign w:val="center"/>
          </w:tcPr>
          <w:p w14:paraId="2897696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4</w:t>
            </w:r>
          </w:p>
        </w:tc>
        <w:tc>
          <w:tcPr>
            <w:tcW w:w="2314" w:type="dxa"/>
            <w:vAlign w:val="center"/>
          </w:tcPr>
          <w:p w14:paraId="0111AA7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港口与航道工程</w:t>
            </w:r>
          </w:p>
        </w:tc>
        <w:tc>
          <w:tcPr>
            <w:tcW w:w="1210" w:type="dxa"/>
            <w:vAlign w:val="center"/>
          </w:tcPr>
          <w:p w14:paraId="34C4541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本科</w:t>
            </w:r>
          </w:p>
        </w:tc>
        <w:tc>
          <w:tcPr>
            <w:tcW w:w="4824" w:type="dxa"/>
            <w:vAlign w:val="center"/>
          </w:tcPr>
          <w:p w14:paraId="65A29AD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_GB2312" w:hAnsi="仿宋_GB2312" w:eastAsia="仿宋_GB2312" w:cs="仿宋_GB2312"/>
                <w:b w:val="0"/>
                <w:bCs/>
                <w:sz w:val="24"/>
                <w:szCs w:val="24"/>
                <w:lang w:val="en-US" w:eastAsia="zh-CN"/>
              </w:rPr>
            </w:pPr>
            <w:r>
              <w:rPr>
                <w:rFonts w:hint="eastAsia" w:ascii="仿宋_GB2312" w:hAnsi="仿宋_GB2312" w:cs="仿宋_GB2312"/>
                <w:b w:val="0"/>
                <w:bCs/>
                <w:sz w:val="24"/>
                <w:szCs w:val="24"/>
                <w:lang w:val="en-US" w:eastAsia="zh-CN"/>
              </w:rPr>
              <w:t>港航工程</w:t>
            </w:r>
            <w:r>
              <w:rPr>
                <w:rFonts w:hint="eastAsia" w:ascii="仿宋_GB2312" w:hAnsi="仿宋_GB2312" w:eastAsia="仿宋_GB2312" w:cs="仿宋_GB2312"/>
                <w:b w:val="0"/>
                <w:bCs/>
                <w:sz w:val="24"/>
                <w:szCs w:val="24"/>
              </w:rPr>
              <w:t>、水利水电工程等</w:t>
            </w:r>
            <w:r>
              <w:rPr>
                <w:rFonts w:hint="eastAsia" w:ascii="仿宋_GB2312" w:hAnsi="仿宋_GB2312" w:cs="仿宋_GB2312"/>
                <w:b w:val="0"/>
                <w:bCs/>
                <w:sz w:val="24"/>
                <w:szCs w:val="24"/>
                <w:lang w:val="en-US" w:eastAsia="zh-CN"/>
              </w:rPr>
              <w:t>相关专业</w:t>
            </w:r>
          </w:p>
        </w:tc>
      </w:tr>
      <w:tr w14:paraId="12FE7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757" w:type="dxa"/>
            <w:vAlign w:val="center"/>
          </w:tcPr>
          <w:p w14:paraId="2DD93B7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5</w:t>
            </w:r>
          </w:p>
        </w:tc>
        <w:tc>
          <w:tcPr>
            <w:tcW w:w="2314" w:type="dxa"/>
            <w:vAlign w:val="center"/>
          </w:tcPr>
          <w:p w14:paraId="61D65AE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测量工程</w:t>
            </w:r>
          </w:p>
        </w:tc>
        <w:tc>
          <w:tcPr>
            <w:tcW w:w="1210" w:type="dxa"/>
            <w:vAlign w:val="center"/>
          </w:tcPr>
          <w:p w14:paraId="54416D7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本科</w:t>
            </w:r>
          </w:p>
        </w:tc>
        <w:tc>
          <w:tcPr>
            <w:tcW w:w="4824" w:type="dxa"/>
            <w:vAlign w:val="center"/>
          </w:tcPr>
          <w:p w14:paraId="591308C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测绘工程、工程测量等</w:t>
            </w:r>
            <w:r>
              <w:rPr>
                <w:rFonts w:hint="eastAsia" w:ascii="仿宋_GB2312" w:hAnsi="仿宋_GB2312" w:cs="仿宋_GB2312"/>
                <w:b w:val="0"/>
                <w:bCs/>
                <w:sz w:val="24"/>
                <w:szCs w:val="24"/>
                <w:lang w:val="en-US" w:eastAsia="zh-CN"/>
              </w:rPr>
              <w:t>相关专业</w:t>
            </w:r>
          </w:p>
        </w:tc>
      </w:tr>
      <w:tr w14:paraId="42874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757" w:type="dxa"/>
            <w:vAlign w:val="center"/>
          </w:tcPr>
          <w:p w14:paraId="7720171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6</w:t>
            </w:r>
          </w:p>
        </w:tc>
        <w:tc>
          <w:tcPr>
            <w:tcW w:w="2314" w:type="dxa"/>
            <w:vAlign w:val="center"/>
          </w:tcPr>
          <w:p w14:paraId="4F1F03B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采矿工程</w:t>
            </w:r>
          </w:p>
        </w:tc>
        <w:tc>
          <w:tcPr>
            <w:tcW w:w="1210" w:type="dxa"/>
            <w:vAlign w:val="center"/>
          </w:tcPr>
          <w:p w14:paraId="47EB3F1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本科</w:t>
            </w:r>
          </w:p>
        </w:tc>
        <w:tc>
          <w:tcPr>
            <w:tcW w:w="4824" w:type="dxa"/>
            <w:vAlign w:val="center"/>
          </w:tcPr>
          <w:p w14:paraId="70E3448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采矿工程、矿物加工等</w:t>
            </w:r>
            <w:r>
              <w:rPr>
                <w:rFonts w:hint="eastAsia" w:ascii="仿宋_GB2312" w:hAnsi="仿宋_GB2312" w:cs="仿宋_GB2312"/>
                <w:b w:val="0"/>
                <w:bCs/>
                <w:sz w:val="24"/>
                <w:szCs w:val="24"/>
                <w:lang w:val="en-US" w:eastAsia="zh-CN"/>
              </w:rPr>
              <w:t>相关专业</w:t>
            </w:r>
          </w:p>
        </w:tc>
      </w:tr>
      <w:tr w14:paraId="566FD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757" w:type="dxa"/>
            <w:vAlign w:val="center"/>
          </w:tcPr>
          <w:p w14:paraId="02229BA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7</w:t>
            </w:r>
          </w:p>
        </w:tc>
        <w:tc>
          <w:tcPr>
            <w:tcW w:w="2314" w:type="dxa"/>
            <w:vAlign w:val="center"/>
          </w:tcPr>
          <w:p w14:paraId="241E579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合同计量</w:t>
            </w:r>
          </w:p>
        </w:tc>
        <w:tc>
          <w:tcPr>
            <w:tcW w:w="1210" w:type="dxa"/>
            <w:vAlign w:val="center"/>
          </w:tcPr>
          <w:p w14:paraId="40EAD46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本科</w:t>
            </w:r>
          </w:p>
        </w:tc>
        <w:tc>
          <w:tcPr>
            <w:tcW w:w="4824" w:type="dxa"/>
            <w:vAlign w:val="center"/>
          </w:tcPr>
          <w:p w14:paraId="3F0ACEF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工程造价、市政造价、概预算等</w:t>
            </w:r>
            <w:r>
              <w:rPr>
                <w:rFonts w:hint="eastAsia" w:ascii="仿宋_GB2312" w:hAnsi="仿宋_GB2312" w:cs="仿宋_GB2312"/>
                <w:b w:val="0"/>
                <w:bCs/>
                <w:sz w:val="24"/>
                <w:szCs w:val="24"/>
                <w:lang w:val="en-US" w:eastAsia="zh-CN"/>
              </w:rPr>
              <w:t>相关专业</w:t>
            </w:r>
          </w:p>
        </w:tc>
      </w:tr>
      <w:tr w14:paraId="48202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757" w:type="dxa"/>
            <w:vAlign w:val="center"/>
          </w:tcPr>
          <w:p w14:paraId="2DF45C2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8</w:t>
            </w:r>
          </w:p>
        </w:tc>
        <w:tc>
          <w:tcPr>
            <w:tcW w:w="2314" w:type="dxa"/>
            <w:vAlign w:val="center"/>
          </w:tcPr>
          <w:p w14:paraId="5180951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试验检测</w:t>
            </w:r>
          </w:p>
        </w:tc>
        <w:tc>
          <w:tcPr>
            <w:tcW w:w="1210" w:type="dxa"/>
            <w:vAlign w:val="center"/>
          </w:tcPr>
          <w:p w14:paraId="7AA8ECF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本科</w:t>
            </w:r>
          </w:p>
        </w:tc>
        <w:tc>
          <w:tcPr>
            <w:tcW w:w="4824" w:type="dxa"/>
            <w:vAlign w:val="center"/>
          </w:tcPr>
          <w:p w14:paraId="725B7A3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道路工程材料、无机非金属材料工程、土木检测等相关专业</w:t>
            </w:r>
          </w:p>
        </w:tc>
      </w:tr>
      <w:tr w14:paraId="0662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757" w:type="dxa"/>
            <w:vAlign w:val="center"/>
          </w:tcPr>
          <w:p w14:paraId="3C2A0B1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9</w:t>
            </w:r>
          </w:p>
        </w:tc>
        <w:tc>
          <w:tcPr>
            <w:tcW w:w="2314" w:type="dxa"/>
            <w:vAlign w:val="center"/>
          </w:tcPr>
          <w:p w14:paraId="72E6775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物资设备</w:t>
            </w:r>
          </w:p>
        </w:tc>
        <w:tc>
          <w:tcPr>
            <w:tcW w:w="1210" w:type="dxa"/>
            <w:vAlign w:val="center"/>
          </w:tcPr>
          <w:p w14:paraId="6B86E08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本科</w:t>
            </w:r>
          </w:p>
        </w:tc>
        <w:tc>
          <w:tcPr>
            <w:tcW w:w="4824" w:type="dxa"/>
            <w:vAlign w:val="center"/>
          </w:tcPr>
          <w:p w14:paraId="5F02645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rPr>
              <w:t>工程机械、机电</w:t>
            </w:r>
            <w:r>
              <w:rPr>
                <w:rFonts w:hint="eastAsia" w:ascii="仿宋_GB2312" w:hAnsi="仿宋_GB2312" w:cs="仿宋_GB2312"/>
                <w:b w:val="0"/>
                <w:bCs/>
                <w:sz w:val="24"/>
                <w:szCs w:val="24"/>
                <w:lang w:val="en-US" w:eastAsia="zh-CN"/>
              </w:rPr>
              <w:t>工程</w:t>
            </w:r>
            <w:r>
              <w:rPr>
                <w:rFonts w:hint="eastAsia" w:ascii="仿宋_GB2312" w:hAnsi="仿宋_GB2312" w:eastAsia="仿宋_GB2312" w:cs="仿宋_GB2312"/>
                <w:b w:val="0"/>
                <w:bCs/>
                <w:sz w:val="24"/>
                <w:szCs w:val="24"/>
              </w:rPr>
              <w:t>、物流管理等</w:t>
            </w:r>
            <w:r>
              <w:rPr>
                <w:rFonts w:hint="eastAsia" w:ascii="仿宋_GB2312" w:hAnsi="仿宋_GB2312" w:cs="仿宋_GB2312"/>
                <w:b w:val="0"/>
                <w:bCs/>
                <w:sz w:val="24"/>
                <w:szCs w:val="24"/>
                <w:lang w:val="en-US" w:eastAsia="zh-CN"/>
              </w:rPr>
              <w:t>相关专业</w:t>
            </w:r>
          </w:p>
        </w:tc>
      </w:tr>
      <w:tr w14:paraId="1E3C5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757" w:type="dxa"/>
            <w:vAlign w:val="center"/>
          </w:tcPr>
          <w:p w14:paraId="5AFD012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10</w:t>
            </w:r>
          </w:p>
        </w:tc>
        <w:tc>
          <w:tcPr>
            <w:tcW w:w="2314" w:type="dxa"/>
            <w:vAlign w:val="center"/>
          </w:tcPr>
          <w:p w14:paraId="05703C2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_GB2312" w:hAnsi="仿宋_GB2312" w:eastAsia="仿宋_GB2312" w:cs="仿宋_GB2312"/>
                <w:b w:val="0"/>
                <w:bCs/>
                <w:sz w:val="24"/>
                <w:szCs w:val="24"/>
                <w:lang w:val="en-US" w:eastAsia="zh-CN"/>
              </w:rPr>
            </w:pPr>
            <w:r>
              <w:rPr>
                <w:rFonts w:hint="eastAsia" w:ascii="仿宋_GB2312" w:hAnsi="仿宋_GB2312" w:cs="仿宋_GB2312"/>
                <w:b w:val="0"/>
                <w:bCs/>
                <w:sz w:val="24"/>
                <w:szCs w:val="24"/>
                <w:lang w:val="en-US" w:eastAsia="zh-CN"/>
              </w:rPr>
              <w:t>综合节能</w:t>
            </w:r>
          </w:p>
        </w:tc>
        <w:tc>
          <w:tcPr>
            <w:tcW w:w="1210" w:type="dxa"/>
            <w:vAlign w:val="center"/>
          </w:tcPr>
          <w:p w14:paraId="338AB81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本科</w:t>
            </w:r>
          </w:p>
        </w:tc>
        <w:tc>
          <w:tcPr>
            <w:tcW w:w="4824" w:type="dxa"/>
            <w:vAlign w:val="center"/>
          </w:tcPr>
          <w:p w14:paraId="2769309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_GB2312" w:hAnsi="仿宋_GB2312" w:eastAsia="仿宋_GB2312" w:cs="仿宋_GB2312"/>
                <w:b w:val="0"/>
                <w:bCs/>
                <w:sz w:val="24"/>
                <w:szCs w:val="24"/>
                <w:lang w:val="en-US" w:eastAsia="zh-CN"/>
              </w:rPr>
            </w:pPr>
            <w:r>
              <w:rPr>
                <w:rFonts w:hint="eastAsia" w:ascii="仿宋_GB2312" w:hAnsi="仿宋_GB2312" w:cs="仿宋_GB2312"/>
                <w:b w:val="0"/>
                <w:bCs/>
                <w:sz w:val="24"/>
                <w:szCs w:val="24"/>
                <w:lang w:val="en-US" w:eastAsia="zh-CN"/>
              </w:rPr>
              <w:t>建筑环境、电气、新能源</w:t>
            </w:r>
            <w:r>
              <w:rPr>
                <w:rFonts w:hint="eastAsia" w:ascii="仿宋_GB2312" w:hAnsi="仿宋_GB2312" w:eastAsia="仿宋_GB2312" w:cs="仿宋_GB2312"/>
                <w:b w:val="0"/>
                <w:bCs/>
                <w:sz w:val="24"/>
                <w:szCs w:val="24"/>
              </w:rPr>
              <w:t>等</w:t>
            </w:r>
            <w:r>
              <w:rPr>
                <w:rFonts w:hint="eastAsia" w:ascii="仿宋_GB2312" w:hAnsi="仿宋_GB2312" w:cs="仿宋_GB2312"/>
                <w:b w:val="0"/>
                <w:bCs/>
                <w:sz w:val="24"/>
                <w:szCs w:val="24"/>
                <w:lang w:val="en-US" w:eastAsia="zh-CN"/>
              </w:rPr>
              <w:t>相关专业</w:t>
            </w:r>
          </w:p>
        </w:tc>
      </w:tr>
      <w:tr w14:paraId="275A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757" w:type="dxa"/>
            <w:vAlign w:val="center"/>
          </w:tcPr>
          <w:p w14:paraId="7582DA9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_GB2312" w:hAnsi="仿宋_GB2312" w:eastAsia="仿宋_GB2312" w:cs="仿宋_GB2312"/>
                <w:b w:val="0"/>
                <w:bCs/>
                <w:sz w:val="24"/>
                <w:szCs w:val="24"/>
                <w:lang w:val="en-US" w:eastAsia="zh-CN"/>
              </w:rPr>
            </w:pPr>
            <w:r>
              <w:rPr>
                <w:rFonts w:hint="eastAsia" w:ascii="仿宋_GB2312" w:hAnsi="仿宋_GB2312" w:cs="仿宋_GB2312"/>
                <w:b w:val="0"/>
                <w:bCs/>
                <w:sz w:val="24"/>
                <w:szCs w:val="24"/>
                <w:lang w:val="en-US" w:eastAsia="zh-CN"/>
              </w:rPr>
              <w:t>11</w:t>
            </w:r>
          </w:p>
        </w:tc>
        <w:tc>
          <w:tcPr>
            <w:tcW w:w="2314" w:type="dxa"/>
            <w:vAlign w:val="center"/>
          </w:tcPr>
          <w:p w14:paraId="23CFCC3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_GB2312" w:hAnsi="仿宋_GB2312" w:cs="仿宋_GB2312"/>
                <w:b w:val="0"/>
                <w:bCs/>
                <w:sz w:val="24"/>
                <w:szCs w:val="24"/>
                <w:lang w:val="en-US" w:eastAsia="zh-CN"/>
              </w:rPr>
            </w:pPr>
            <w:r>
              <w:rPr>
                <w:rFonts w:hint="eastAsia" w:ascii="仿宋_GB2312" w:hAnsi="仿宋_GB2312" w:cs="仿宋_GB2312"/>
                <w:b w:val="0"/>
                <w:bCs/>
                <w:sz w:val="24"/>
                <w:szCs w:val="24"/>
                <w:lang w:val="en-US" w:eastAsia="zh-CN"/>
              </w:rPr>
              <w:t>照明工程</w:t>
            </w:r>
          </w:p>
        </w:tc>
        <w:tc>
          <w:tcPr>
            <w:tcW w:w="1210" w:type="dxa"/>
            <w:vAlign w:val="center"/>
          </w:tcPr>
          <w:p w14:paraId="3854E0D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cs="仿宋_GB2312"/>
                <w:b w:val="0"/>
                <w:bCs/>
                <w:sz w:val="24"/>
                <w:szCs w:val="24"/>
                <w:lang w:val="en-US" w:eastAsia="zh-CN"/>
              </w:rPr>
              <w:t>本科</w:t>
            </w:r>
          </w:p>
        </w:tc>
        <w:tc>
          <w:tcPr>
            <w:tcW w:w="4824" w:type="dxa"/>
            <w:vAlign w:val="center"/>
          </w:tcPr>
          <w:p w14:paraId="01AB5BB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_GB2312" w:hAnsi="仿宋_GB2312" w:cs="仿宋_GB2312"/>
                <w:b w:val="0"/>
                <w:bCs/>
                <w:sz w:val="24"/>
                <w:szCs w:val="24"/>
                <w:lang w:val="en-US" w:eastAsia="zh-CN"/>
              </w:rPr>
            </w:pPr>
            <w:r>
              <w:rPr>
                <w:rFonts w:hint="eastAsia" w:ascii="仿宋_GB2312" w:hAnsi="仿宋_GB2312" w:cs="仿宋_GB2312"/>
                <w:b w:val="0"/>
                <w:bCs/>
                <w:sz w:val="24"/>
                <w:szCs w:val="24"/>
                <w:lang w:val="en-US" w:eastAsia="zh-CN"/>
              </w:rPr>
              <w:t>光学、照明、电气</w:t>
            </w:r>
            <w:r>
              <w:rPr>
                <w:rFonts w:hint="eastAsia" w:ascii="仿宋_GB2312" w:hAnsi="仿宋_GB2312" w:eastAsia="仿宋_GB2312" w:cs="仿宋_GB2312"/>
                <w:b w:val="0"/>
                <w:bCs/>
                <w:sz w:val="24"/>
                <w:szCs w:val="24"/>
              </w:rPr>
              <w:t>等</w:t>
            </w:r>
            <w:r>
              <w:rPr>
                <w:rFonts w:hint="eastAsia" w:ascii="仿宋_GB2312" w:hAnsi="仿宋_GB2312" w:cs="仿宋_GB2312"/>
                <w:b w:val="0"/>
                <w:bCs/>
                <w:sz w:val="24"/>
                <w:szCs w:val="24"/>
                <w:lang w:val="en-US" w:eastAsia="zh-CN"/>
              </w:rPr>
              <w:t>相关专业</w:t>
            </w:r>
          </w:p>
        </w:tc>
      </w:tr>
      <w:tr w14:paraId="50322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757" w:type="dxa"/>
            <w:vAlign w:val="center"/>
          </w:tcPr>
          <w:p w14:paraId="22EAAB5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_GB2312" w:hAnsi="仿宋_GB2312" w:eastAsia="仿宋_GB2312" w:cs="仿宋_GB2312"/>
                <w:b w:val="0"/>
                <w:bCs/>
                <w:sz w:val="24"/>
                <w:szCs w:val="24"/>
                <w:lang w:val="en-US" w:eastAsia="zh-CN"/>
              </w:rPr>
            </w:pPr>
            <w:r>
              <w:rPr>
                <w:rFonts w:hint="eastAsia" w:ascii="仿宋_GB2312" w:hAnsi="仿宋_GB2312" w:cs="仿宋_GB2312"/>
                <w:b w:val="0"/>
                <w:bCs/>
                <w:sz w:val="24"/>
                <w:szCs w:val="24"/>
                <w:lang w:val="en-US" w:eastAsia="zh-CN"/>
              </w:rPr>
              <w:t>12</w:t>
            </w:r>
          </w:p>
        </w:tc>
        <w:tc>
          <w:tcPr>
            <w:tcW w:w="2314" w:type="dxa"/>
            <w:vAlign w:val="center"/>
          </w:tcPr>
          <w:p w14:paraId="5E9F634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交通设计</w:t>
            </w:r>
          </w:p>
        </w:tc>
        <w:tc>
          <w:tcPr>
            <w:tcW w:w="1210" w:type="dxa"/>
            <w:vAlign w:val="center"/>
          </w:tcPr>
          <w:p w14:paraId="524A4EF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研究生</w:t>
            </w:r>
          </w:p>
        </w:tc>
        <w:tc>
          <w:tcPr>
            <w:tcW w:w="4824" w:type="dxa"/>
            <w:vAlign w:val="center"/>
          </w:tcPr>
          <w:p w14:paraId="7D0E0A8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rPr>
              <w:t>道路与铁道工程、岩土工程、桥梁与隧道工程、结构工程、港航工程、安全工程等相关专业</w:t>
            </w:r>
          </w:p>
        </w:tc>
      </w:tr>
      <w:tr w14:paraId="2884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757" w:type="dxa"/>
            <w:vAlign w:val="center"/>
          </w:tcPr>
          <w:p w14:paraId="0E7BD88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_GB2312" w:hAnsi="仿宋_GB2312" w:eastAsia="仿宋_GB2312" w:cs="仿宋_GB2312"/>
                <w:b w:val="0"/>
                <w:bCs/>
                <w:sz w:val="24"/>
                <w:szCs w:val="24"/>
                <w:lang w:val="en-US" w:eastAsia="zh-CN"/>
              </w:rPr>
            </w:pPr>
            <w:r>
              <w:rPr>
                <w:rFonts w:hint="eastAsia" w:ascii="仿宋_GB2312" w:hAnsi="仿宋_GB2312" w:cs="仿宋_GB2312"/>
                <w:b w:val="0"/>
                <w:bCs/>
                <w:sz w:val="24"/>
                <w:szCs w:val="24"/>
                <w:lang w:val="en-US" w:eastAsia="zh-CN"/>
              </w:rPr>
              <w:t>13</w:t>
            </w:r>
          </w:p>
        </w:tc>
        <w:tc>
          <w:tcPr>
            <w:tcW w:w="2314" w:type="dxa"/>
            <w:vAlign w:val="center"/>
          </w:tcPr>
          <w:p w14:paraId="1D84BAA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特种设备设计</w:t>
            </w:r>
          </w:p>
        </w:tc>
        <w:tc>
          <w:tcPr>
            <w:tcW w:w="1210" w:type="dxa"/>
            <w:vAlign w:val="center"/>
          </w:tcPr>
          <w:p w14:paraId="2BA10C6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本科</w:t>
            </w:r>
          </w:p>
        </w:tc>
        <w:tc>
          <w:tcPr>
            <w:tcW w:w="4824" w:type="dxa"/>
            <w:vAlign w:val="center"/>
          </w:tcPr>
          <w:p w14:paraId="5ED55DD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机械相关专业、结构、工程力学等</w:t>
            </w:r>
            <w:r>
              <w:rPr>
                <w:rFonts w:hint="eastAsia" w:ascii="仿宋_GB2312" w:hAnsi="仿宋_GB2312" w:cs="仿宋_GB2312"/>
                <w:b w:val="0"/>
                <w:bCs/>
                <w:sz w:val="24"/>
                <w:szCs w:val="24"/>
                <w:lang w:val="en-US" w:eastAsia="zh-CN"/>
              </w:rPr>
              <w:t>相关专业</w:t>
            </w:r>
          </w:p>
        </w:tc>
      </w:tr>
      <w:tr w14:paraId="42B1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757" w:type="dxa"/>
            <w:vAlign w:val="center"/>
          </w:tcPr>
          <w:p w14:paraId="5D067FF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_GB2312" w:hAnsi="仿宋_GB2312" w:eastAsia="仿宋_GB2312" w:cs="仿宋_GB2312"/>
                <w:b w:val="0"/>
                <w:bCs/>
                <w:sz w:val="24"/>
                <w:szCs w:val="24"/>
                <w:lang w:val="en-US" w:eastAsia="zh-CN"/>
              </w:rPr>
            </w:pPr>
            <w:r>
              <w:rPr>
                <w:rFonts w:hint="eastAsia" w:ascii="仿宋_GB2312" w:hAnsi="仿宋_GB2312" w:cs="仿宋_GB2312"/>
                <w:b w:val="0"/>
                <w:bCs/>
                <w:sz w:val="24"/>
                <w:szCs w:val="24"/>
                <w:lang w:val="en-US" w:eastAsia="zh-CN"/>
              </w:rPr>
              <w:t>14</w:t>
            </w:r>
          </w:p>
        </w:tc>
        <w:tc>
          <w:tcPr>
            <w:tcW w:w="2314" w:type="dxa"/>
            <w:vAlign w:val="center"/>
          </w:tcPr>
          <w:p w14:paraId="47D42C4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项目安全管理</w:t>
            </w:r>
          </w:p>
        </w:tc>
        <w:tc>
          <w:tcPr>
            <w:tcW w:w="1210" w:type="dxa"/>
            <w:vAlign w:val="center"/>
          </w:tcPr>
          <w:p w14:paraId="72469D8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本科</w:t>
            </w:r>
          </w:p>
        </w:tc>
        <w:tc>
          <w:tcPr>
            <w:tcW w:w="4824" w:type="dxa"/>
            <w:vAlign w:val="center"/>
          </w:tcPr>
          <w:p w14:paraId="6CBF5AC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rPr>
              <w:t>安全工程、土木工程、采矿工程、消防工程</w:t>
            </w:r>
            <w:r>
              <w:rPr>
                <w:rFonts w:hint="eastAsia" w:ascii="仿宋_GB2312" w:hAnsi="仿宋_GB2312" w:cs="仿宋_GB2312"/>
                <w:b w:val="0"/>
                <w:bCs/>
                <w:sz w:val="24"/>
                <w:szCs w:val="24"/>
                <w:lang w:eastAsia="zh-CN"/>
              </w:rPr>
              <w:t>、</w:t>
            </w:r>
            <w:r>
              <w:rPr>
                <w:rFonts w:hint="eastAsia" w:ascii="仿宋_GB2312" w:hAnsi="仿宋_GB2312" w:cs="仿宋_GB2312"/>
                <w:b w:val="0"/>
                <w:bCs/>
                <w:sz w:val="24"/>
                <w:szCs w:val="24"/>
                <w:lang w:val="en-US" w:eastAsia="zh-CN"/>
              </w:rPr>
              <w:t>环境工程</w:t>
            </w:r>
            <w:r>
              <w:rPr>
                <w:rFonts w:hint="eastAsia" w:ascii="仿宋_GB2312" w:hAnsi="仿宋_GB2312" w:eastAsia="仿宋_GB2312" w:cs="仿宋_GB2312"/>
                <w:b w:val="0"/>
                <w:bCs/>
                <w:sz w:val="24"/>
                <w:szCs w:val="24"/>
              </w:rPr>
              <w:t>等</w:t>
            </w:r>
            <w:r>
              <w:rPr>
                <w:rFonts w:hint="eastAsia" w:ascii="仿宋_GB2312" w:hAnsi="仿宋_GB2312" w:cs="仿宋_GB2312"/>
                <w:b w:val="0"/>
                <w:bCs/>
                <w:sz w:val="24"/>
                <w:szCs w:val="24"/>
                <w:lang w:val="en-US" w:eastAsia="zh-CN"/>
              </w:rPr>
              <w:t>相关专业</w:t>
            </w:r>
          </w:p>
        </w:tc>
      </w:tr>
      <w:tr w14:paraId="486ED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757" w:type="dxa"/>
            <w:vAlign w:val="center"/>
          </w:tcPr>
          <w:p w14:paraId="01197E1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_GB2312" w:hAnsi="仿宋_GB2312" w:eastAsia="仿宋_GB2312" w:cs="仿宋_GB2312"/>
                <w:b w:val="0"/>
                <w:bCs/>
                <w:sz w:val="24"/>
                <w:szCs w:val="24"/>
                <w:lang w:val="en-US" w:eastAsia="zh-CN"/>
              </w:rPr>
            </w:pPr>
            <w:r>
              <w:rPr>
                <w:rFonts w:hint="eastAsia" w:ascii="仿宋_GB2312" w:hAnsi="仿宋_GB2312" w:cs="仿宋_GB2312"/>
                <w:b w:val="0"/>
                <w:bCs/>
                <w:sz w:val="24"/>
                <w:szCs w:val="24"/>
                <w:lang w:val="en-US" w:eastAsia="zh-CN"/>
              </w:rPr>
              <w:t>15</w:t>
            </w:r>
          </w:p>
        </w:tc>
        <w:tc>
          <w:tcPr>
            <w:tcW w:w="2314" w:type="dxa"/>
            <w:vAlign w:val="center"/>
          </w:tcPr>
          <w:p w14:paraId="717F882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项目财务管理</w:t>
            </w:r>
          </w:p>
        </w:tc>
        <w:tc>
          <w:tcPr>
            <w:tcW w:w="1210" w:type="dxa"/>
            <w:vAlign w:val="center"/>
          </w:tcPr>
          <w:p w14:paraId="3AABAAF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本科</w:t>
            </w:r>
          </w:p>
        </w:tc>
        <w:tc>
          <w:tcPr>
            <w:tcW w:w="4824" w:type="dxa"/>
            <w:vAlign w:val="center"/>
          </w:tcPr>
          <w:p w14:paraId="5B3BD06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财务管理、会计、审计、统计学等</w:t>
            </w:r>
            <w:r>
              <w:rPr>
                <w:rFonts w:hint="eastAsia" w:ascii="仿宋_GB2312" w:hAnsi="仿宋_GB2312" w:cs="仿宋_GB2312"/>
                <w:b w:val="0"/>
                <w:bCs/>
                <w:sz w:val="24"/>
                <w:szCs w:val="24"/>
                <w:lang w:val="en-US" w:eastAsia="zh-CN"/>
              </w:rPr>
              <w:t>相关专业</w:t>
            </w:r>
          </w:p>
        </w:tc>
      </w:tr>
      <w:tr w14:paraId="05A0D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757" w:type="dxa"/>
            <w:vAlign w:val="center"/>
          </w:tcPr>
          <w:p w14:paraId="5A9A841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_GB2312" w:hAnsi="仿宋_GB2312" w:eastAsia="仿宋_GB2312" w:cs="仿宋_GB2312"/>
                <w:b w:val="0"/>
                <w:bCs/>
                <w:sz w:val="24"/>
                <w:szCs w:val="24"/>
                <w:lang w:val="en-US" w:eastAsia="zh-CN"/>
              </w:rPr>
            </w:pPr>
            <w:r>
              <w:rPr>
                <w:rFonts w:hint="eastAsia" w:ascii="仿宋_GB2312" w:hAnsi="仿宋_GB2312" w:cs="仿宋_GB2312"/>
                <w:b w:val="0"/>
                <w:bCs/>
                <w:sz w:val="24"/>
                <w:szCs w:val="24"/>
                <w:lang w:val="en-US" w:eastAsia="zh-CN"/>
              </w:rPr>
              <w:t>16</w:t>
            </w:r>
          </w:p>
        </w:tc>
        <w:tc>
          <w:tcPr>
            <w:tcW w:w="2314" w:type="dxa"/>
            <w:vAlign w:val="center"/>
          </w:tcPr>
          <w:p w14:paraId="72035F1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综合管理</w:t>
            </w:r>
          </w:p>
        </w:tc>
        <w:tc>
          <w:tcPr>
            <w:tcW w:w="1210" w:type="dxa"/>
            <w:vAlign w:val="center"/>
          </w:tcPr>
          <w:p w14:paraId="5A44504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本科</w:t>
            </w:r>
          </w:p>
        </w:tc>
        <w:tc>
          <w:tcPr>
            <w:tcW w:w="4824" w:type="dxa"/>
            <w:vAlign w:val="center"/>
          </w:tcPr>
          <w:p w14:paraId="0F1333B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cs="仿宋_GB2312"/>
                <w:b w:val="0"/>
                <w:bCs/>
                <w:sz w:val="24"/>
                <w:szCs w:val="24"/>
                <w:lang w:val="en-US" w:eastAsia="zh-CN"/>
              </w:rPr>
              <w:t>公共管理、工商管理、</w:t>
            </w:r>
            <w:r>
              <w:rPr>
                <w:rFonts w:hint="eastAsia" w:ascii="仿宋_GB2312" w:hAnsi="仿宋_GB2312" w:eastAsia="仿宋_GB2312" w:cs="仿宋_GB2312"/>
                <w:b w:val="0"/>
                <w:bCs/>
                <w:sz w:val="24"/>
                <w:szCs w:val="24"/>
              </w:rPr>
              <w:t>行政管理、</w:t>
            </w:r>
            <w:r>
              <w:rPr>
                <w:rFonts w:hint="eastAsia" w:ascii="仿宋_GB2312" w:hAnsi="仿宋_GB2312" w:cs="仿宋_GB2312"/>
                <w:b w:val="0"/>
                <w:bCs/>
                <w:sz w:val="24"/>
                <w:szCs w:val="24"/>
                <w:lang w:val="en-US" w:eastAsia="zh-CN"/>
              </w:rPr>
              <w:t>汉语言文学</w:t>
            </w:r>
            <w:r>
              <w:rPr>
                <w:rFonts w:hint="eastAsia" w:ascii="仿宋_GB2312" w:hAnsi="仿宋_GB2312" w:eastAsia="仿宋_GB2312" w:cs="仿宋_GB2312"/>
                <w:b w:val="0"/>
                <w:bCs/>
                <w:sz w:val="24"/>
                <w:szCs w:val="24"/>
              </w:rPr>
              <w:t>、新闻</w:t>
            </w:r>
            <w:r>
              <w:rPr>
                <w:rFonts w:hint="eastAsia" w:ascii="仿宋_GB2312" w:hAnsi="仿宋_GB2312" w:cs="仿宋_GB2312"/>
                <w:b w:val="0"/>
                <w:bCs/>
                <w:sz w:val="24"/>
                <w:szCs w:val="24"/>
                <w:lang w:val="en-US" w:eastAsia="zh-CN"/>
              </w:rPr>
              <w:t>传播</w:t>
            </w:r>
            <w:r>
              <w:rPr>
                <w:rFonts w:hint="eastAsia" w:ascii="仿宋_GB2312" w:hAnsi="仿宋_GB2312" w:cs="仿宋_GB2312"/>
                <w:b w:val="0"/>
                <w:bCs/>
                <w:sz w:val="24"/>
                <w:szCs w:val="24"/>
                <w:lang w:eastAsia="zh-CN"/>
              </w:rPr>
              <w:t>、</w:t>
            </w:r>
            <w:r>
              <w:rPr>
                <w:rFonts w:hint="eastAsia" w:ascii="仿宋_GB2312" w:hAnsi="仿宋_GB2312" w:cs="仿宋_GB2312"/>
                <w:b w:val="0"/>
                <w:bCs/>
                <w:sz w:val="24"/>
                <w:szCs w:val="24"/>
                <w:lang w:val="en-US" w:eastAsia="zh-CN"/>
              </w:rPr>
              <w:t>法学</w:t>
            </w:r>
            <w:r>
              <w:rPr>
                <w:rFonts w:hint="eastAsia" w:ascii="仿宋_GB2312" w:hAnsi="仿宋_GB2312" w:eastAsia="仿宋_GB2312" w:cs="仿宋_GB2312"/>
                <w:b w:val="0"/>
                <w:bCs/>
                <w:sz w:val="24"/>
                <w:szCs w:val="24"/>
              </w:rPr>
              <w:t>等相关专业</w:t>
            </w:r>
          </w:p>
        </w:tc>
      </w:tr>
      <w:tr w14:paraId="78079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757" w:type="dxa"/>
            <w:vAlign w:val="center"/>
          </w:tcPr>
          <w:p w14:paraId="20E07FB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_GB2312" w:hAnsi="仿宋_GB2312" w:eastAsia="仿宋_GB2312" w:cs="仿宋_GB2312"/>
                <w:b w:val="0"/>
                <w:bCs/>
                <w:sz w:val="24"/>
                <w:szCs w:val="24"/>
                <w:lang w:val="en-US" w:eastAsia="zh-CN"/>
              </w:rPr>
            </w:pPr>
            <w:r>
              <w:rPr>
                <w:rFonts w:hint="eastAsia" w:ascii="仿宋_GB2312" w:hAnsi="仿宋_GB2312" w:cs="仿宋_GB2312"/>
                <w:b w:val="0"/>
                <w:bCs/>
                <w:sz w:val="24"/>
                <w:szCs w:val="24"/>
                <w:lang w:val="en-US" w:eastAsia="zh-CN"/>
              </w:rPr>
              <w:t>17</w:t>
            </w:r>
          </w:p>
        </w:tc>
        <w:tc>
          <w:tcPr>
            <w:tcW w:w="2314" w:type="dxa"/>
            <w:vAlign w:val="center"/>
          </w:tcPr>
          <w:p w14:paraId="42EE3B1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人力资源</w:t>
            </w:r>
          </w:p>
        </w:tc>
        <w:tc>
          <w:tcPr>
            <w:tcW w:w="1210" w:type="dxa"/>
            <w:vAlign w:val="center"/>
          </w:tcPr>
          <w:p w14:paraId="576C21A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本科</w:t>
            </w:r>
          </w:p>
        </w:tc>
        <w:tc>
          <w:tcPr>
            <w:tcW w:w="4824" w:type="dxa"/>
            <w:vAlign w:val="center"/>
          </w:tcPr>
          <w:p w14:paraId="703AF42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rPr>
              <w:t>人力资源、社会保障</w:t>
            </w:r>
            <w:r>
              <w:rPr>
                <w:rFonts w:hint="eastAsia" w:ascii="仿宋_GB2312" w:hAnsi="仿宋_GB2312" w:cs="仿宋_GB2312"/>
                <w:b w:val="0"/>
                <w:bCs/>
                <w:sz w:val="24"/>
                <w:szCs w:val="24"/>
                <w:lang w:eastAsia="zh-CN"/>
              </w:rPr>
              <w:t>、</w:t>
            </w:r>
            <w:r>
              <w:rPr>
                <w:rFonts w:hint="eastAsia" w:ascii="仿宋_GB2312" w:hAnsi="仿宋_GB2312" w:cs="仿宋_GB2312"/>
                <w:b w:val="0"/>
                <w:bCs/>
                <w:sz w:val="24"/>
                <w:szCs w:val="24"/>
                <w:lang w:val="en-US" w:eastAsia="zh-CN"/>
              </w:rPr>
              <w:t>劳动关系</w:t>
            </w:r>
            <w:r>
              <w:rPr>
                <w:rFonts w:hint="eastAsia" w:ascii="仿宋_GB2312" w:hAnsi="仿宋_GB2312" w:eastAsia="仿宋_GB2312" w:cs="仿宋_GB2312"/>
                <w:b w:val="0"/>
                <w:bCs/>
                <w:sz w:val="24"/>
                <w:szCs w:val="24"/>
              </w:rPr>
              <w:t>等</w:t>
            </w:r>
            <w:r>
              <w:rPr>
                <w:rFonts w:hint="eastAsia" w:ascii="仿宋_GB2312" w:hAnsi="仿宋_GB2312" w:cs="仿宋_GB2312"/>
                <w:b w:val="0"/>
                <w:bCs/>
                <w:sz w:val="24"/>
                <w:szCs w:val="24"/>
                <w:lang w:val="en-US" w:eastAsia="zh-CN"/>
              </w:rPr>
              <w:t>相关专业</w:t>
            </w:r>
          </w:p>
        </w:tc>
      </w:tr>
      <w:tr w14:paraId="79D7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757" w:type="dxa"/>
            <w:vAlign w:val="center"/>
          </w:tcPr>
          <w:p w14:paraId="21483FB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_GB2312" w:hAnsi="仿宋_GB2312" w:eastAsia="仿宋_GB2312" w:cs="仿宋_GB2312"/>
                <w:b w:val="0"/>
                <w:bCs/>
                <w:sz w:val="24"/>
                <w:szCs w:val="24"/>
                <w:lang w:val="en-US" w:eastAsia="zh-CN"/>
              </w:rPr>
            </w:pPr>
            <w:r>
              <w:rPr>
                <w:rFonts w:hint="eastAsia" w:ascii="仿宋_GB2312" w:hAnsi="仿宋_GB2312" w:cs="仿宋_GB2312"/>
                <w:b w:val="0"/>
                <w:bCs/>
                <w:sz w:val="24"/>
                <w:szCs w:val="24"/>
                <w:lang w:val="en-US" w:eastAsia="zh-CN"/>
              </w:rPr>
              <w:t>18</w:t>
            </w:r>
          </w:p>
        </w:tc>
        <w:tc>
          <w:tcPr>
            <w:tcW w:w="2314" w:type="dxa"/>
            <w:vAlign w:val="center"/>
          </w:tcPr>
          <w:p w14:paraId="077E389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数字化</w:t>
            </w:r>
          </w:p>
        </w:tc>
        <w:tc>
          <w:tcPr>
            <w:tcW w:w="1210" w:type="dxa"/>
            <w:vAlign w:val="center"/>
          </w:tcPr>
          <w:p w14:paraId="4566123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本科</w:t>
            </w:r>
          </w:p>
        </w:tc>
        <w:tc>
          <w:tcPr>
            <w:tcW w:w="4824" w:type="dxa"/>
            <w:vAlign w:val="center"/>
          </w:tcPr>
          <w:p w14:paraId="5052C99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rPr>
              <w:t>计算机类</w:t>
            </w:r>
            <w:r>
              <w:rPr>
                <w:rFonts w:hint="eastAsia" w:ascii="仿宋_GB2312" w:hAnsi="仿宋_GB2312" w:cs="仿宋_GB2312"/>
                <w:b w:val="0"/>
                <w:bCs/>
                <w:sz w:val="24"/>
                <w:szCs w:val="24"/>
                <w:lang w:val="en-US" w:eastAsia="zh-CN"/>
              </w:rPr>
              <w:t>专业</w:t>
            </w:r>
          </w:p>
        </w:tc>
      </w:tr>
      <w:tr w14:paraId="377CC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exact"/>
          <w:jc w:val="center"/>
        </w:trPr>
        <w:tc>
          <w:tcPr>
            <w:tcW w:w="757" w:type="dxa"/>
            <w:vAlign w:val="center"/>
          </w:tcPr>
          <w:p w14:paraId="1F65E7E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_GB2312" w:hAnsi="仿宋_GB2312" w:eastAsia="仿宋_GB2312" w:cs="仿宋_GB2312"/>
                <w:b w:val="0"/>
                <w:bCs/>
                <w:sz w:val="24"/>
                <w:szCs w:val="24"/>
                <w:lang w:val="en-US" w:eastAsia="zh-CN"/>
              </w:rPr>
            </w:pPr>
            <w:r>
              <w:rPr>
                <w:rFonts w:hint="eastAsia" w:ascii="仿宋_GB2312" w:hAnsi="仿宋_GB2312" w:cs="仿宋_GB2312"/>
                <w:b w:val="0"/>
                <w:bCs/>
                <w:sz w:val="24"/>
                <w:szCs w:val="24"/>
                <w:lang w:val="en-US" w:eastAsia="zh-CN"/>
              </w:rPr>
              <w:t>19</w:t>
            </w:r>
          </w:p>
        </w:tc>
        <w:tc>
          <w:tcPr>
            <w:tcW w:w="2314" w:type="dxa"/>
            <w:vAlign w:val="center"/>
          </w:tcPr>
          <w:p w14:paraId="0CA974B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国际工程业务</w:t>
            </w:r>
          </w:p>
        </w:tc>
        <w:tc>
          <w:tcPr>
            <w:tcW w:w="1210" w:type="dxa"/>
            <w:vAlign w:val="center"/>
          </w:tcPr>
          <w:p w14:paraId="4E28E88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本科</w:t>
            </w:r>
          </w:p>
        </w:tc>
        <w:tc>
          <w:tcPr>
            <w:tcW w:w="4824" w:type="dxa"/>
            <w:vAlign w:val="center"/>
          </w:tcPr>
          <w:p w14:paraId="0A431BA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rPr>
              <w:t>土木工程类（国际班方向优先）、综合</w:t>
            </w:r>
            <w:r>
              <w:rPr>
                <w:rFonts w:hint="eastAsia" w:ascii="仿宋_GB2312" w:hAnsi="仿宋_GB2312" w:cs="仿宋_GB2312"/>
                <w:b w:val="0"/>
                <w:bCs/>
                <w:sz w:val="24"/>
                <w:szCs w:val="24"/>
                <w:lang w:val="en-US" w:eastAsia="zh-CN"/>
              </w:rPr>
              <w:t>管理类专业</w:t>
            </w:r>
          </w:p>
        </w:tc>
      </w:tr>
    </w:tbl>
    <w:p w14:paraId="7A6157FD">
      <w:pPr>
        <w:pStyle w:val="2"/>
        <w:bidi w:val="0"/>
      </w:pPr>
      <w:r>
        <w:rPr>
          <w:rFonts w:hint="eastAsia"/>
        </w:rPr>
        <w:t>五、交工优势</w:t>
      </w:r>
    </w:p>
    <w:p w14:paraId="52A2EA48">
      <w:pPr>
        <w:bidi w:val="0"/>
        <w:rPr>
          <w:rFonts w:hint="eastAsia"/>
        </w:rPr>
      </w:pPr>
      <w:r>
        <w:rPr>
          <w:rFonts w:hint="eastAsia"/>
        </w:rPr>
        <w:t>1.行业内富有竞争力的薪酬分配体系及完善的福利体系，满足员工获得尊重、实现自我价值的需要。</w:t>
      </w:r>
    </w:p>
    <w:p w14:paraId="05C36044">
      <w:pPr>
        <w:bidi w:val="0"/>
        <w:rPr>
          <w:rFonts w:hint="eastAsia"/>
          <w:b/>
          <w:bCs/>
        </w:rPr>
      </w:pPr>
      <w:r>
        <w:rPr>
          <w:rFonts w:hint="eastAsia"/>
          <w:b/>
          <w:bCs/>
        </w:rPr>
        <w:t>首年薪资（国内）：本科9-</w:t>
      </w:r>
      <w:r>
        <w:rPr>
          <w:b/>
          <w:bCs/>
        </w:rPr>
        <w:t>1</w:t>
      </w:r>
      <w:r>
        <w:rPr>
          <w:rFonts w:hint="eastAsia"/>
          <w:b/>
          <w:bCs/>
        </w:rPr>
        <w:t>3万；硕士研究生11-</w:t>
      </w:r>
      <w:r>
        <w:rPr>
          <w:b/>
          <w:bCs/>
        </w:rPr>
        <w:t>1</w:t>
      </w:r>
      <w:r>
        <w:rPr>
          <w:rFonts w:hint="eastAsia"/>
          <w:b/>
          <w:bCs/>
        </w:rPr>
        <w:t>6万；博士待遇一人一策。海外工作岗位薪资为国内同岗的1</w:t>
      </w:r>
      <w:r>
        <w:rPr>
          <w:b/>
          <w:bCs/>
        </w:rPr>
        <w:t>.5</w:t>
      </w:r>
      <w:r>
        <w:rPr>
          <w:rFonts w:hint="eastAsia"/>
          <w:b/>
          <w:bCs/>
        </w:rPr>
        <w:t>-</w:t>
      </w:r>
      <w:r>
        <w:rPr>
          <w:b/>
          <w:bCs/>
        </w:rPr>
        <w:t>2.8</w:t>
      </w:r>
      <w:r>
        <w:rPr>
          <w:rFonts w:hint="eastAsia"/>
          <w:b/>
          <w:bCs/>
        </w:rPr>
        <w:t>倍。</w:t>
      </w:r>
      <w:r>
        <w:rPr>
          <w:b/>
          <w:bCs/>
        </w:rPr>
        <w:t>同时可申领杭州市应届毕业生生活补贴：</w:t>
      </w:r>
      <w:r>
        <w:rPr>
          <w:rFonts w:hint="eastAsia"/>
          <w:b/>
          <w:bCs/>
        </w:rPr>
        <w:t>本科1万元，硕士3万元，博士10万元。</w:t>
      </w:r>
    </w:p>
    <w:p w14:paraId="0848F29C">
      <w:pPr>
        <w:bidi w:val="0"/>
      </w:pPr>
      <w:r>
        <w:rPr>
          <w:rFonts w:hint="eastAsia"/>
        </w:rPr>
        <w:t>同时</w:t>
      </w:r>
      <w:r>
        <w:rPr>
          <w:rFonts w:hint="eastAsia"/>
          <w:lang w:eastAsia="zh-CN"/>
        </w:rPr>
        <w:t>，</w:t>
      </w:r>
      <w:r>
        <w:rPr>
          <w:rFonts w:hint="eastAsia"/>
        </w:rPr>
        <w:t>设有“管培生、联合培养生”高端引领后备人才招聘计划，首年综合薪酬15-20万，博士待遇一人一策。管培生、联合培养生招聘另发公告。</w:t>
      </w:r>
    </w:p>
    <w:p w14:paraId="791CE049">
      <w:pPr>
        <w:bidi w:val="0"/>
      </w:pPr>
      <w:r>
        <w:rPr>
          <w:rFonts w:hint="eastAsia"/>
        </w:rPr>
        <w:t>2.全周期的人才培养成长体系，助推新员工快速成长；</w:t>
      </w:r>
    </w:p>
    <w:p w14:paraId="52D66017">
      <w:pPr>
        <w:bidi w:val="0"/>
      </w:pPr>
      <w:r>
        <w:rPr>
          <w:rFonts w:hint="eastAsia"/>
        </w:rPr>
        <w:t>3.“环境美、WIFI强、菜肴香、活动多、学习浓、成长好”六美项目部，搭建员工成长沃土乐园；</w:t>
      </w:r>
    </w:p>
    <w:p w14:paraId="537826B2">
      <w:pPr>
        <w:bidi w:val="0"/>
      </w:pPr>
      <w:r>
        <w:rPr>
          <w:rFonts w:hint="eastAsia"/>
        </w:rPr>
        <w:t>4.“初心交工、爱在交工、E交工、交工青春派、交工好声音”五大青年活动品牌，丰富员工业余生活；</w:t>
      </w:r>
    </w:p>
    <w:p w14:paraId="7F64D252">
      <w:pPr>
        <w:bidi w:val="0"/>
      </w:pPr>
      <w:r>
        <w:rPr>
          <w:rFonts w:hint="eastAsia"/>
        </w:rPr>
        <w:t>5.竭诚打造“六有员工幸福工程”，努力提高员工幸福指数；</w:t>
      </w:r>
    </w:p>
    <w:p w14:paraId="03874D22">
      <w:pPr>
        <w:bidi w:val="0"/>
      </w:pPr>
      <w:r>
        <w:rPr>
          <w:rFonts w:hint="eastAsia"/>
        </w:rPr>
        <w:t xml:space="preserve">6.全方位、多层次、立体化的人才晋升通道，广阔的发展空间，为员工成长提供无限可能！ </w:t>
      </w:r>
    </w:p>
    <w:p w14:paraId="7F64D905">
      <w:pPr>
        <w:bidi w:val="0"/>
        <w:rPr>
          <w:rFonts w:hint="eastAsia" w:eastAsia="仿宋_GB2312"/>
          <w:lang w:eastAsia="zh-CN"/>
        </w:rPr>
      </w:pPr>
      <w:r>
        <w:rPr>
          <w:rFonts w:hint="eastAsia" w:eastAsia="仿宋_GB2312"/>
          <w:lang w:eastAsia="zh-CN"/>
        </w:rPr>
        <w:drawing>
          <wp:anchor distT="0" distB="0" distL="114300" distR="114300" simplePos="0" relativeHeight="251665408" behindDoc="0" locked="0" layoutInCell="1" allowOverlap="1">
            <wp:simplePos x="0" y="0"/>
            <wp:positionH relativeFrom="column">
              <wp:posOffset>3007995</wp:posOffset>
            </wp:positionH>
            <wp:positionV relativeFrom="page">
              <wp:posOffset>1314450</wp:posOffset>
            </wp:positionV>
            <wp:extent cx="2557780" cy="1917065"/>
            <wp:effectExtent l="0" t="0" r="2540" b="3175"/>
            <wp:wrapTopAndBottom/>
            <wp:docPr id="8" name="图片 8" descr="千人同心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千人同心圆"/>
                    <pic:cNvPicPr>
                      <a:picLocks noChangeAspect="1"/>
                    </pic:cNvPicPr>
                  </pic:nvPicPr>
                  <pic:blipFill>
                    <a:blip r:embed="rId8"/>
                    <a:stretch>
                      <a:fillRect/>
                    </a:stretch>
                  </pic:blipFill>
                  <pic:spPr>
                    <a:xfrm>
                      <a:off x="0" y="0"/>
                      <a:ext cx="2557780" cy="1917065"/>
                    </a:xfrm>
                    <a:prstGeom prst="rect">
                      <a:avLst/>
                    </a:prstGeom>
                  </pic:spPr>
                </pic:pic>
              </a:graphicData>
            </a:graphic>
          </wp:anchor>
        </w:drawing>
      </w:r>
      <w:r>
        <w:rPr>
          <w:rFonts w:hint="eastAsia"/>
          <w:lang w:eastAsia="zh-CN"/>
        </w:rPr>
        <w:drawing>
          <wp:anchor distT="0" distB="0" distL="114300" distR="114300" simplePos="0" relativeHeight="251663360" behindDoc="0" locked="0" layoutInCell="1" allowOverlap="1">
            <wp:simplePos x="0" y="0"/>
            <wp:positionH relativeFrom="column">
              <wp:posOffset>165735</wp:posOffset>
            </wp:positionH>
            <wp:positionV relativeFrom="paragraph">
              <wp:posOffset>2524125</wp:posOffset>
            </wp:positionV>
            <wp:extent cx="2523490" cy="1619250"/>
            <wp:effectExtent l="0" t="0" r="6350" b="11430"/>
            <wp:wrapTopAndBottom/>
            <wp:docPr id="5" name="图片 5" descr="CDC_7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DC_7240"/>
                    <pic:cNvPicPr>
                      <a:picLocks noChangeAspect="1"/>
                    </pic:cNvPicPr>
                  </pic:nvPicPr>
                  <pic:blipFill>
                    <a:blip r:embed="rId9"/>
                    <a:stretch>
                      <a:fillRect/>
                    </a:stretch>
                  </pic:blipFill>
                  <pic:spPr>
                    <a:xfrm>
                      <a:off x="0" y="0"/>
                      <a:ext cx="2523490" cy="1619250"/>
                    </a:xfrm>
                    <a:prstGeom prst="rect">
                      <a:avLst/>
                    </a:prstGeom>
                  </pic:spPr>
                </pic:pic>
              </a:graphicData>
            </a:graphic>
          </wp:anchor>
        </w:drawing>
      </w:r>
      <w:r>
        <w:rPr>
          <w:rFonts w:hint="eastAsia"/>
          <w:lang w:eastAsia="zh-CN"/>
        </w:rPr>
        <w:drawing>
          <wp:anchor distT="0" distB="0" distL="114300" distR="114300" simplePos="0" relativeHeight="251660288" behindDoc="0" locked="0" layoutInCell="1" allowOverlap="1">
            <wp:simplePos x="0" y="0"/>
            <wp:positionH relativeFrom="column">
              <wp:posOffset>212090</wp:posOffset>
            </wp:positionH>
            <wp:positionV relativeFrom="paragraph">
              <wp:posOffset>4349115</wp:posOffset>
            </wp:positionV>
            <wp:extent cx="2425065" cy="1591310"/>
            <wp:effectExtent l="0" t="0" r="13335" b="8890"/>
            <wp:wrapTopAndBottom/>
            <wp:docPr id="1" name="图片 1" descr="微信图片_20240730110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730110144"/>
                    <pic:cNvPicPr>
                      <a:picLocks noChangeAspect="1"/>
                    </pic:cNvPicPr>
                  </pic:nvPicPr>
                  <pic:blipFill>
                    <a:blip r:embed="rId10"/>
                    <a:stretch>
                      <a:fillRect/>
                    </a:stretch>
                  </pic:blipFill>
                  <pic:spPr>
                    <a:xfrm>
                      <a:off x="0" y="0"/>
                      <a:ext cx="2425065" cy="1591310"/>
                    </a:xfrm>
                    <a:prstGeom prst="rect">
                      <a:avLst/>
                    </a:prstGeom>
                  </pic:spPr>
                </pic:pic>
              </a:graphicData>
            </a:graphic>
          </wp:anchor>
        </w:drawing>
      </w:r>
      <w:r>
        <w:rPr>
          <w:rFonts w:hint="eastAsia"/>
          <w:lang w:eastAsia="zh-CN"/>
        </w:rPr>
        <w:drawing>
          <wp:anchor distT="0" distB="0" distL="114300" distR="114300" simplePos="0" relativeHeight="251662336" behindDoc="0" locked="0" layoutInCell="1" allowOverlap="1">
            <wp:simplePos x="0" y="0"/>
            <wp:positionH relativeFrom="column">
              <wp:posOffset>187325</wp:posOffset>
            </wp:positionH>
            <wp:positionV relativeFrom="paragraph">
              <wp:posOffset>402590</wp:posOffset>
            </wp:positionV>
            <wp:extent cx="2520315" cy="1914525"/>
            <wp:effectExtent l="0" t="0" r="9525" b="5715"/>
            <wp:wrapTopAndBottom/>
            <wp:docPr id="4" name="图片 4" descr="千人交工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千人交工印"/>
                    <pic:cNvPicPr>
                      <a:picLocks noChangeAspect="1"/>
                    </pic:cNvPicPr>
                  </pic:nvPicPr>
                  <pic:blipFill>
                    <a:blip r:embed="rId11"/>
                    <a:stretch>
                      <a:fillRect/>
                    </a:stretch>
                  </pic:blipFill>
                  <pic:spPr>
                    <a:xfrm>
                      <a:off x="0" y="0"/>
                      <a:ext cx="2520315" cy="1914525"/>
                    </a:xfrm>
                    <a:prstGeom prst="rect">
                      <a:avLst/>
                    </a:prstGeom>
                  </pic:spPr>
                </pic:pic>
              </a:graphicData>
            </a:graphic>
          </wp:anchor>
        </w:drawing>
      </w:r>
    </w:p>
    <w:p w14:paraId="1D6680D3">
      <w:pPr>
        <w:pStyle w:val="2"/>
        <w:bidi w:val="0"/>
        <w:rPr>
          <w:rFonts w:hint="eastAsia" w:eastAsia="黑体"/>
          <w:lang w:eastAsia="zh-CN"/>
        </w:rPr>
      </w:pPr>
      <w:r>
        <w:rPr>
          <w:rFonts w:hint="eastAsia"/>
          <w:lang w:eastAsia="zh-CN"/>
        </w:rPr>
        <w:drawing>
          <wp:anchor distT="0" distB="0" distL="114300" distR="114300" simplePos="0" relativeHeight="251661312" behindDoc="0" locked="0" layoutInCell="1" allowOverlap="1">
            <wp:simplePos x="0" y="0"/>
            <wp:positionH relativeFrom="column">
              <wp:posOffset>2961005</wp:posOffset>
            </wp:positionH>
            <wp:positionV relativeFrom="paragraph">
              <wp:posOffset>163195</wp:posOffset>
            </wp:positionV>
            <wp:extent cx="2637155" cy="1602105"/>
            <wp:effectExtent l="0" t="0" r="14605" b="13335"/>
            <wp:wrapTopAndBottom/>
            <wp:docPr id="3" name="图片 3" descr="“绽FUN青春”青年运动会篮球分赛新老对抗赛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绽FUN青春”青年运动会篮球分赛新老对抗赛 (2)"/>
                    <pic:cNvPicPr>
                      <a:picLocks noChangeAspect="1"/>
                    </pic:cNvPicPr>
                  </pic:nvPicPr>
                  <pic:blipFill>
                    <a:blip r:embed="rId12"/>
                    <a:stretch>
                      <a:fillRect/>
                    </a:stretch>
                  </pic:blipFill>
                  <pic:spPr>
                    <a:xfrm>
                      <a:off x="0" y="0"/>
                      <a:ext cx="2637155" cy="1602105"/>
                    </a:xfrm>
                    <a:prstGeom prst="rect">
                      <a:avLst/>
                    </a:prstGeom>
                  </pic:spPr>
                </pic:pic>
              </a:graphicData>
            </a:graphic>
          </wp:anchor>
        </w:drawing>
      </w:r>
      <w:r>
        <w:drawing>
          <wp:anchor distT="0" distB="0" distL="114300" distR="114300" simplePos="0" relativeHeight="251664384" behindDoc="0" locked="0" layoutInCell="1" allowOverlap="1">
            <wp:simplePos x="0" y="0"/>
            <wp:positionH relativeFrom="column">
              <wp:posOffset>2974340</wp:posOffset>
            </wp:positionH>
            <wp:positionV relativeFrom="paragraph">
              <wp:posOffset>-1631315</wp:posOffset>
            </wp:positionV>
            <wp:extent cx="2618740" cy="1634490"/>
            <wp:effectExtent l="0" t="0" r="2540" b="11430"/>
            <wp:wrapTopAndBottom/>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13"/>
                    <a:stretch>
                      <a:fillRect/>
                    </a:stretch>
                  </pic:blipFill>
                  <pic:spPr>
                    <a:xfrm>
                      <a:off x="0" y="0"/>
                      <a:ext cx="2618740" cy="1634490"/>
                    </a:xfrm>
                    <a:prstGeom prst="rect">
                      <a:avLst/>
                    </a:prstGeom>
                    <a:noFill/>
                    <a:ln w="9525">
                      <a:noFill/>
                    </a:ln>
                  </pic:spPr>
                </pic:pic>
              </a:graphicData>
            </a:graphic>
          </wp:anchor>
        </w:drawing>
      </w:r>
      <w:r>
        <w:rPr>
          <w:rFonts w:hint="eastAsia"/>
        </w:rPr>
        <w:t>六、应聘方式</w:t>
      </w:r>
      <w:r>
        <w:rPr>
          <w:rFonts w:hint="eastAsia"/>
          <w:lang w:eastAsia="zh-CN"/>
        </w:rPr>
        <w:t>（</w:t>
      </w:r>
      <w:r>
        <w:rPr>
          <w:rFonts w:hint="eastAsia"/>
          <w:lang w:val="en-US" w:eastAsia="zh-CN"/>
        </w:rPr>
        <w:t>二选一</w:t>
      </w:r>
      <w:r>
        <w:rPr>
          <w:rFonts w:hint="eastAsia"/>
          <w:lang w:eastAsia="zh-CN"/>
        </w:rPr>
        <w:t>）</w:t>
      </w:r>
    </w:p>
    <w:p w14:paraId="0D601C55">
      <w:pPr>
        <w:bidi w:val="0"/>
        <w:rPr>
          <w:rFonts w:hint="eastAsia" w:eastAsia="仿宋"/>
          <w:lang w:eastAsia="zh-CN"/>
        </w:rPr>
      </w:pPr>
      <w:r>
        <w:rPr>
          <w:rFonts w:hint="eastAsia"/>
        </w:rPr>
        <w:t>1</w:t>
      </w:r>
      <w:r>
        <w:rPr>
          <w:rFonts w:hint="eastAsia"/>
          <w:spacing wpsCustomData:val="0" w:val="13"/>
          <w:lang w:val="en-US" w:eastAsia="zh-CN"/>
        </w:rPr>
        <w:t>.</w:t>
      </w:r>
      <w:r>
        <w:rPr>
          <w:rFonts w:hint="eastAsia"/>
          <w:spacing wpsCustomData:val="0" w:val="13"/>
        </w:rPr>
        <w:t>招聘负责人的联系方式如下，可直接咨询或投</w:t>
      </w:r>
      <w:r>
        <w:rPr>
          <w:rFonts w:hint="eastAsia"/>
        </w:rPr>
        <w:t>递简历</w:t>
      </w:r>
      <w:r>
        <w:rPr>
          <w:rFonts w:hint="eastAsia"/>
          <w:lang w:eastAsia="zh-CN"/>
        </w:rPr>
        <w:t>。</w:t>
      </w:r>
    </w:p>
    <w:p w14:paraId="09F9675B">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联系人</w:t>
      </w:r>
      <w:r>
        <w:rPr>
          <w:rFonts w:hint="eastAsia"/>
          <w:lang w:eastAsia="zh-CN"/>
        </w:rPr>
        <w:t>：</w:t>
      </w:r>
      <w:r>
        <w:rPr>
          <w:rFonts w:hint="eastAsia"/>
        </w:rPr>
        <w:t>林学科</w:t>
      </w:r>
    </w:p>
    <w:p w14:paraId="323FA795">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lang w:val="en-US" w:eastAsia="zh-CN"/>
        </w:rPr>
        <w:t>联系电话：</w:t>
      </w:r>
      <w:r>
        <w:rPr>
          <w:rFonts w:hint="eastAsia"/>
        </w:rPr>
        <w:t>18969947985</w:t>
      </w:r>
    </w:p>
    <w:p w14:paraId="3E5C95AF">
      <w:pPr>
        <w:keepNext w:val="0"/>
        <w:keepLines w:val="0"/>
        <w:pageBreakBefore w:val="0"/>
        <w:widowControl w:val="0"/>
        <w:kinsoku/>
        <w:wordWrap/>
        <w:overflowPunct/>
        <w:topLinePunct w:val="0"/>
        <w:autoSpaceDE/>
        <w:autoSpaceDN/>
        <w:bidi w:val="0"/>
        <w:adjustRightInd/>
        <w:snapToGrid/>
        <w:textAlignment w:val="auto"/>
      </w:pPr>
      <w:r>
        <w:rPr>
          <w:rFonts w:hint="eastAsia"/>
        </w:rPr>
        <w:t>邮箱投递：</w:t>
      </w:r>
      <w:r>
        <w:t>zjjghthr@163.com</w:t>
      </w:r>
    </w:p>
    <w:p w14:paraId="61CEE0BE">
      <w:pPr>
        <w:bidi w:val="0"/>
      </w:pPr>
      <w:r>
        <w:rPr>
          <w:rFonts w:hint="eastAsia"/>
          <w:lang w:val="en-US" w:eastAsia="zh-CN"/>
        </w:rPr>
        <w:t>简历</w:t>
      </w:r>
      <w:r>
        <w:rPr>
          <w:rFonts w:hint="eastAsia"/>
        </w:rPr>
        <w:t>命名规则：xx大学-xx专业-姓名。</w:t>
      </w:r>
      <w:bookmarkStart w:id="1" w:name="_GoBack"/>
      <w:bookmarkEnd w:id="1"/>
    </w:p>
    <w:p w14:paraId="0E12D981">
      <w:pPr>
        <w:bidi w:val="0"/>
      </w:pPr>
      <w:r>
        <w:rPr>
          <w:rFonts w:hint="eastAsia"/>
          <w:lang w:val="en-US" w:eastAsia="zh-CN"/>
        </w:rPr>
        <w:t>2.</w:t>
      </w:r>
      <w:r>
        <w:rPr>
          <w:rFonts w:hint="eastAsia"/>
        </w:rPr>
        <w:t>现场投递简历：应聘者可在宣讲会现场提交个人纸质简历、成绩单、获奖证书等应聘材料（具体时间请关注集团招聘微信公众号行程发布及各地各院校就业网）。</w:t>
      </w:r>
    </w:p>
    <w:p w14:paraId="5F922799">
      <w:pPr>
        <w:pStyle w:val="2"/>
        <w:bidi w:val="0"/>
        <w:rPr>
          <w:rFonts w:hint="default"/>
          <w:lang w:val="en-US" w:eastAsia="zh-CN"/>
        </w:rPr>
      </w:pPr>
      <w:r>
        <w:rPr>
          <w:rFonts w:hint="eastAsia"/>
        </w:rPr>
        <w:t>七、</w:t>
      </w:r>
      <w:r>
        <w:rPr>
          <w:rFonts w:hint="eastAsia"/>
          <w:lang w:val="en-US" w:eastAsia="zh-CN"/>
        </w:rPr>
        <w:t>集团公司地址及联系方式</w:t>
      </w:r>
    </w:p>
    <w:p w14:paraId="48655BD4">
      <w:pPr>
        <w:bidi w:val="0"/>
        <w:rPr>
          <w:rFonts w:hint="eastAsia"/>
        </w:rPr>
      </w:pPr>
      <w:r>
        <w:rPr>
          <w:rFonts w:hint="eastAsia"/>
        </w:rPr>
        <w:t>集团</w:t>
      </w:r>
      <w:r>
        <w:rPr>
          <w:rFonts w:hint="eastAsia"/>
          <w:lang w:val="en-US" w:eastAsia="zh-CN"/>
        </w:rPr>
        <w:t>公司</w:t>
      </w:r>
      <w:r>
        <w:rPr>
          <w:rFonts w:hint="eastAsia"/>
        </w:rPr>
        <w:t>人力资源部电话：0571-85053035</w:t>
      </w:r>
    </w:p>
    <w:p w14:paraId="077C7D3D">
      <w:pPr>
        <w:bidi w:val="0"/>
        <w:rPr>
          <w:rFonts w:hint="eastAsia"/>
        </w:rPr>
      </w:pPr>
      <w:r>
        <w:rPr>
          <w:rFonts w:hint="eastAsia"/>
        </w:rPr>
        <w:t>集团</w:t>
      </w:r>
      <w:r>
        <w:rPr>
          <w:rFonts w:hint="eastAsia"/>
          <w:lang w:val="en-US" w:eastAsia="zh-CN"/>
        </w:rPr>
        <w:t>公司</w:t>
      </w:r>
      <w:r>
        <w:rPr>
          <w:rFonts w:hint="eastAsia"/>
        </w:rPr>
        <w:t>官网：http://www.zjjtgc.com/</w:t>
      </w:r>
    </w:p>
    <w:p w14:paraId="5367DDD4">
      <w:pPr>
        <w:bidi w:val="0"/>
        <w:rPr>
          <w:rFonts w:hint="default"/>
          <w:lang w:val="en-US" w:eastAsia="zh-CN"/>
        </w:rPr>
      </w:pPr>
      <w:r>
        <w:rPr>
          <w:rFonts w:hint="eastAsia"/>
          <w:lang w:val="en-US" w:eastAsia="zh-CN"/>
        </w:rPr>
        <w:t>集团</w:t>
      </w:r>
      <w:r>
        <w:rPr>
          <w:rFonts w:hint="eastAsia"/>
        </w:rPr>
        <w:t>公司地址：杭州市</w:t>
      </w:r>
      <w:r>
        <w:rPr>
          <w:rFonts w:hint="eastAsia"/>
          <w:lang w:val="en-US" w:eastAsia="zh-CN"/>
        </w:rPr>
        <w:t>临安区青山湖街道598号</w:t>
      </w:r>
    </w:p>
    <w:sectPr>
      <w:footerReference r:id="rId5" w:type="default"/>
      <w:pgSz w:w="11906" w:h="16838"/>
      <w:pgMar w:top="1440" w:right="1361" w:bottom="1440" w:left="136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4EDB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2F7CB4">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GLAD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0s&#10;sz59gBrT7gMmpuGdHzB39gM6M+1BRZu/SIhgHNU9X9WVQyIiP1qv1usKQwJj8wXx2cPzECG9l96S&#10;bDQ04viKqvz0EdKYOqfkas7faWPKCI37x4GY2cNy72OP2UrDfpgI7X17Rj49Tr6hDhedEvPBobB5&#10;SWYjzsZ+No4h6kNXtijXg3B7TNhE6S1XGGGnwjiywm5ar7wTj+8l6+GX2v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RiwAzIAQAAmgMAAA4AAAAAAAAAAQAgAAAAHgEAAGRycy9lMm9Eb2Mu&#10;eG1sUEsFBgAAAAAGAAYAWQEAAFgFAAAAAA==&#10;">
              <v:fill on="f" focussize="0,0"/>
              <v:stroke on="f"/>
              <v:imagedata o:title=""/>
              <o:lock v:ext="edit" aspectratio="f"/>
              <v:textbox inset="0mm,0mm,0mm,0mm" style="mso-fit-shape-to-text:t;">
                <w:txbxContent>
                  <w:p w14:paraId="492F7CB4">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308"/>
  <w:drawingGridVerticalSpacing w:val="296"/>
  <w:displayHorizontalDrawingGridEvery w:val="1"/>
  <w:displayVerticalDrawingGridEvery w:val="1"/>
  <w:noPunctuationKerning w:val="1"/>
  <w:characterSpacingControl w:val="doNotCompress"/>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FkZTYwNDk4N2E4N2E1NzcwNDAzOWE5OTEyMTE5MjAifQ=="/>
  </w:docVars>
  <w:rsids>
    <w:rsidRoot w:val="00776938"/>
    <w:rsid w:val="00030CDF"/>
    <w:rsid w:val="00080365"/>
    <w:rsid w:val="000A58D9"/>
    <w:rsid w:val="0010209E"/>
    <w:rsid w:val="0010250A"/>
    <w:rsid w:val="00161C36"/>
    <w:rsid w:val="00162EF3"/>
    <w:rsid w:val="00186414"/>
    <w:rsid w:val="00187B96"/>
    <w:rsid w:val="001C1497"/>
    <w:rsid w:val="002237E6"/>
    <w:rsid w:val="00247C7A"/>
    <w:rsid w:val="00260324"/>
    <w:rsid w:val="00366F9D"/>
    <w:rsid w:val="003C3FF7"/>
    <w:rsid w:val="003E0EF7"/>
    <w:rsid w:val="003E517D"/>
    <w:rsid w:val="0043307B"/>
    <w:rsid w:val="0046105D"/>
    <w:rsid w:val="00506ED0"/>
    <w:rsid w:val="00576795"/>
    <w:rsid w:val="00601F61"/>
    <w:rsid w:val="00602D6F"/>
    <w:rsid w:val="00625471"/>
    <w:rsid w:val="00661B4D"/>
    <w:rsid w:val="006E56F7"/>
    <w:rsid w:val="00713909"/>
    <w:rsid w:val="00744AC1"/>
    <w:rsid w:val="00776938"/>
    <w:rsid w:val="00786EB2"/>
    <w:rsid w:val="007E49C3"/>
    <w:rsid w:val="00863714"/>
    <w:rsid w:val="008747DC"/>
    <w:rsid w:val="0099390B"/>
    <w:rsid w:val="00AD1894"/>
    <w:rsid w:val="00B929E4"/>
    <w:rsid w:val="00BA5D62"/>
    <w:rsid w:val="00C90470"/>
    <w:rsid w:val="00CC007C"/>
    <w:rsid w:val="00D043EA"/>
    <w:rsid w:val="00D81655"/>
    <w:rsid w:val="00D95947"/>
    <w:rsid w:val="00DC6F9A"/>
    <w:rsid w:val="00EA223C"/>
    <w:rsid w:val="00ED5395"/>
    <w:rsid w:val="00F11C46"/>
    <w:rsid w:val="00F57261"/>
    <w:rsid w:val="00FE00A3"/>
    <w:rsid w:val="0E15485F"/>
    <w:rsid w:val="0F5B66EB"/>
    <w:rsid w:val="10911C66"/>
    <w:rsid w:val="13E84F8B"/>
    <w:rsid w:val="14F8268A"/>
    <w:rsid w:val="1E514647"/>
    <w:rsid w:val="21651C5A"/>
    <w:rsid w:val="25783AF5"/>
    <w:rsid w:val="281F59E4"/>
    <w:rsid w:val="28603F55"/>
    <w:rsid w:val="28F2772E"/>
    <w:rsid w:val="2A5E0131"/>
    <w:rsid w:val="2E6F5C2F"/>
    <w:rsid w:val="304B5213"/>
    <w:rsid w:val="36012767"/>
    <w:rsid w:val="3CA0747D"/>
    <w:rsid w:val="407924B5"/>
    <w:rsid w:val="41E95912"/>
    <w:rsid w:val="43512488"/>
    <w:rsid w:val="4DC201F1"/>
    <w:rsid w:val="4EBE06BF"/>
    <w:rsid w:val="4EE96F24"/>
    <w:rsid w:val="50386866"/>
    <w:rsid w:val="50A93F88"/>
    <w:rsid w:val="5189662F"/>
    <w:rsid w:val="529C1684"/>
    <w:rsid w:val="5BF650D6"/>
    <w:rsid w:val="5E2A1B57"/>
    <w:rsid w:val="64FD6C28"/>
    <w:rsid w:val="664A412A"/>
    <w:rsid w:val="6D9058D6"/>
    <w:rsid w:val="768706D6"/>
    <w:rsid w:val="780A093E"/>
    <w:rsid w:val="7BD67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ind w:firstLine="883"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link w:val="19"/>
    <w:qFormat/>
    <w:uiPriority w:val="9"/>
    <w:pPr>
      <w:keepNext/>
      <w:keepLines/>
      <w:spacing w:beforeLines="0" w:beforeAutospacing="0" w:afterLines="0" w:afterAutospacing="0" w:line="560" w:lineRule="exact"/>
      <w:outlineLvl w:val="0"/>
    </w:pPr>
    <w:rPr>
      <w:rFonts w:eastAsia="黑体"/>
      <w:kern w:val="44"/>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unhideWhenUsed/>
    <w:qFormat/>
    <w:uiPriority w:val="99"/>
    <w:pPr>
      <w:spacing w:before="100" w:beforeAutospacing="1" w:after="100" w:afterAutospacing="1"/>
    </w:pPr>
    <w:rPr>
      <w:rFonts w:asciiTheme="minorHAnsi" w:hAnsiTheme="minorHAnsi" w:eastAsiaTheme="minorEastAsia" w:cstheme="minorBidi"/>
      <w:sz w:val="24"/>
      <w:szCs w:val="24"/>
      <w:lang w:val="en-US" w:eastAsia="zh-CN" w:bidi="ar-SA"/>
    </w:rPr>
  </w:style>
  <w:style w:type="character" w:styleId="9">
    <w:name w:val="Strong"/>
    <w:basedOn w:val="8"/>
    <w:qFormat/>
    <w:uiPriority w:val="22"/>
    <w:rPr>
      <w:b/>
      <w:bCs/>
    </w:rPr>
  </w:style>
  <w:style w:type="character" w:styleId="10">
    <w:name w:val="Hyperlink"/>
    <w:unhideWhenUsed/>
    <w:qFormat/>
    <w:uiPriority w:val="99"/>
    <w:rPr>
      <w:color w:val="0000FF" w:themeColor="hyperlink"/>
      <w:u w:val="single"/>
      <w14:textFill>
        <w14:solidFill>
          <w14:schemeClr w14:val="hlink"/>
        </w14:solidFill>
      </w14:textFill>
    </w:rPr>
  </w:style>
  <w:style w:type="paragraph" w:customStyle="1" w:styleId="11">
    <w:name w:val="列表段落1"/>
    <w:basedOn w:val="1"/>
    <w:qFormat/>
    <w:uiPriority w:val="34"/>
    <w:pPr>
      <w:ind w:firstLine="420" w:firstLineChars="200"/>
    </w:pPr>
  </w:style>
  <w:style w:type="character" w:customStyle="1" w:styleId="12">
    <w:name w:val="批注框文本 字符"/>
    <w:basedOn w:val="8"/>
    <w:link w:val="3"/>
    <w:semiHidden/>
    <w:qFormat/>
    <w:uiPriority w:val="99"/>
    <w:rPr>
      <w:sz w:val="18"/>
      <w:szCs w:val="18"/>
    </w:rPr>
  </w:style>
  <w:style w:type="character" w:customStyle="1" w:styleId="13">
    <w:name w:val="页脚 字符"/>
    <w:basedOn w:val="8"/>
    <w:link w:val="4"/>
    <w:qFormat/>
    <w:uiPriority w:val="99"/>
    <w:rPr>
      <w:sz w:val="18"/>
      <w:szCs w:val="18"/>
    </w:rPr>
  </w:style>
  <w:style w:type="character" w:customStyle="1" w:styleId="14">
    <w:name w:val="页眉 字符"/>
    <w:basedOn w:val="8"/>
    <w:link w:val="5"/>
    <w:qFormat/>
    <w:uiPriority w:val="99"/>
    <w:rPr>
      <w:sz w:val="18"/>
      <w:szCs w:val="18"/>
    </w:rPr>
  </w:style>
  <w:style w:type="character" w:customStyle="1" w:styleId="15">
    <w:name w:val="@他1"/>
    <w:basedOn w:val="8"/>
    <w:unhideWhenUsed/>
    <w:qFormat/>
    <w:uiPriority w:val="99"/>
    <w:rPr>
      <w:color w:val="2B579A"/>
      <w:shd w:val="clear" w:color="auto" w:fill="E6E6E6"/>
    </w:rPr>
  </w:style>
  <w:style w:type="character" w:customStyle="1" w:styleId="16">
    <w:name w:val="未处理的提及1"/>
    <w:basedOn w:val="8"/>
    <w:unhideWhenUsed/>
    <w:qFormat/>
    <w:uiPriority w:val="99"/>
    <w:rPr>
      <w:color w:val="605E5C"/>
      <w:shd w:val="clear" w:color="auto" w:fill="E1DFDD"/>
    </w:rPr>
  </w:style>
  <w:style w:type="character" w:customStyle="1" w:styleId="17">
    <w:name w:val="@他2"/>
    <w:basedOn w:val="8"/>
    <w:unhideWhenUsed/>
    <w:qFormat/>
    <w:uiPriority w:val="99"/>
    <w:rPr>
      <w:color w:val="2B579A"/>
      <w:shd w:val="clear" w:color="auto" w:fill="E6E6E6"/>
    </w:rPr>
  </w:style>
  <w:style w:type="character" w:customStyle="1" w:styleId="18">
    <w:name w:val="未处理的提及2"/>
    <w:basedOn w:val="8"/>
    <w:unhideWhenUsed/>
    <w:qFormat/>
    <w:uiPriority w:val="99"/>
    <w:rPr>
      <w:color w:val="605E5C"/>
      <w:shd w:val="clear" w:color="auto" w:fill="E1DFDD"/>
    </w:rPr>
  </w:style>
  <w:style w:type="character" w:customStyle="1" w:styleId="19">
    <w:name w:val="标题 1 Char"/>
    <w:link w:val="2"/>
    <w:qFormat/>
    <w:uiPriority w:val="0"/>
    <w:rPr>
      <w:rFonts w:eastAsia="黑体"/>
      <w:kern w:val="44"/>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3074</Words>
  <Characters>3740</Characters>
  <Lines>29</Lines>
  <Paragraphs>8</Paragraphs>
  <TotalTime>22</TotalTime>
  <ScaleCrop>false</ScaleCrop>
  <LinksUpToDate>false</LinksUpToDate>
  <CharactersWithSpaces>3750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2023-08-14T21:55:00Z</dcterms:created>
  <dc:creator>左剑</dc:creator>
  <cp:lastModifiedBy>张煜</cp:lastModifiedBy>
  <cp:lastPrinted>2024-08-22T06:49:00Z</cp:lastPrinted>
  <dcterms:modified xsi:type="dcterms:W3CDTF">2024-08-28T05:35:31Z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64EB6C405DAF42FEAC6BBB3EA131F55D_13</vt:lpwstr>
  </property>
</Properties>
</file>