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650" w:firstLineChars="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章</w:t>
      </w:r>
    </w:p>
    <w:p>
      <w:pPr>
        <w:pStyle w:val="2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一、信阳市中心医院简介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阳市中心医院始建于1920年，前身为“豫南大同医院”。1998年更名为信阳市中心医院。医院设有“两院区一中心”，总建筑面积35万平方米，编制床位2500张。筚路蓝缕，栉风沐雨，经过几代人的拼搏奋进和执着追求，医院现已发展成为一所集医疗、急救、科研、教学、保健、康复于一体，专业设置齐全、设施设备先进、综合实力雄厚，覆盖皖西、鄂北、豫南等周边地区的三级甲等综合医院。医院现有在岗职工3454人，其中专业技术人员3115人。有高级职称452人，医学博士、医学硕士研究生551人，其中享受政府津贴11人，省、市级学术技术带头人12人，信阳市拔尖人才20人。在市级及以上学术团体担任主任委员、副主任委员、秘书长150余人。医院设有142个临床、医技科室，西院区77个，东院区65个，4个省级医学重点学科；1个省级医学重点培育学科。14个临床科室为市级临床医学重点专科，疼痛科为省级临床医学特色专科，4个临床科室为市级临床医学重点专科建设单位。国家高级卒中中心、国家级胸痛中心、省级创伤中心等16个国家、省级专科医学中心通过认证，形成了多学科一体化的区域急危重症医疗救治服务体系。2021年医院获批建设癌症、神经疾病和泌尿外科三个河南省省级区域医疗中心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left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二、招聘岗位</w:t>
      </w:r>
    </w:p>
    <w:p>
      <w:pPr>
        <w:rPr>
          <w:rFonts w:hint="eastAsia" w:eastAsia="宋体"/>
          <w:lang w:eastAsia="zh-CN"/>
        </w:rPr>
      </w:pPr>
    </w:p>
    <w:tbl>
      <w:tblPr>
        <w:tblStyle w:val="4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21"/>
        <w:gridCol w:w="2232"/>
        <w:gridCol w:w="1105"/>
        <w:gridCol w:w="1105"/>
        <w:gridCol w:w="2036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信阳市中心医院2024年招聘工作人员职位表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  件  要 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内科学（心血管）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博士（16人）</w:t>
            </w:r>
          </w:p>
        </w:tc>
        <w:tc>
          <w:tcPr>
            <w:tcW w:w="20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1984年1月1日以后出生（含当日，下同）。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神经病学或神经介入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外科学（泌尿）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外科学（骨外）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外科学（普外）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外科学（神外）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外科学（胸外）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肿瘤内科学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肿瘤外科学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肾病专业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麻醉专业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硕士研究生及以上，第一学历为普通高等教育本科及以上（不含专升本）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硕士及以上（6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博士1984年1月1日以后出生；硕士1994年1月1日以后出生，同时具有毕业证、学位证、医师资格证、规培证的医师可放宽至1989年1月1日以后出生。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录用后在肿瘤内一科工作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肿瘤内科或消化专业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录用后在肿瘤内二科工作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录用后在肿瘤内五科工作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神经介入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录用后在东院区神经内科工作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神经内科或重症医学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录用后在神经重症监护病区工作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神经内科或神经介入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录用后在神经内二科工作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录用后在泌尿外科工作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内科或外科或重症专业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录用后在重症医学科工作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急诊或内科或重症专业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录用后在急诊医学科工作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外科学（胸外）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录用后在急诊外科工作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心血管介入或心脏外科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录用后在东院区心血管一科工作，定岗为介入岗位。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心血管介入或心脏外科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录用后在东院区心血管二科工作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心胸外科或普通外科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录用后在心胸外科工作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脊柱或关节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录用后在骨一科工作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硕士研究生及以上，第一学历为普通高等教育本科及以上（不含专升本）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硕士及以上（6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博士1984年1月1日以后出生；硕士1994年1月1日以后出生，同时具有毕业证、学位证、医师资格证、规培证的医师可放宽至1989年1月1日以后出生。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录用后在骨二科工作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录用后在妇科一病区工作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录用后在妇科二病区工作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录用后在产科三病区工作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录用后在西院区内分泌科工作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录用后在中医科工作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呼吸内科或内科学或重症医学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录用后在呼吸重症监护病区工作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录用后在西院区呼吸与危重症医学科工作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录用后在东院区呼吸与危重症医学科工作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录用后在消化内科工作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录用后在血液净化室工作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口腔医学（颌面外科）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录用后在口腔科病区工作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耳鼻咽喉或临床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录用后在耳鼻咽喉科病区工作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全科医学康复方向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录用后在儿童康复科工作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外科学（胃肠方向）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录用后在普通外科一病区工作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外科学（普通外科）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录用后在普通外科二病区工作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小儿外科或普外科或泌尿科或骨科或临床医学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录用后在小儿外科工作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录用后在皮肤科工作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录用后在神经外科二病区工作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中医（中西医结合）外科肛肠方向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录用后在肛肠外科工作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血管外科或肿瘤介入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录用后在介入放射科工作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录用后在心电神经电生理科工作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录用后在病理科工作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录用后在CT诊断科工作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要求本硕专业一致，录用后在临床药学室工作。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基础医学（生殖医学方向）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录用后在生殖医学中心实验室工作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录用后从事护理工作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普通高等教育一本本科及以上，硕士第一学历为普通高等教育本科（不含专升本）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学士及以上（26人）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1984年1月1日以后出生；硕士1994年1月1日以后出生，同时具有毕业证、学位证、医师资格证、规培证的医师可放宽至1989年1月1日以后出生；本科1999年1月1日以后出生，同时具有毕业证、学位证、医师资格证（护士资格证)、规培证的医师可放宽至1994年1月1日以后出生。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录用后在儿童重症监护病区工作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录用后在儿科一病区工作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录用后在儿科二病区工作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外科学（乳腺外科）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录用后在肿瘤外一科工作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外科学（普外或胸外或肝胆）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录用后在肿瘤外五科工作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录用后在精神医学科工作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内科或外科或重症专业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录用后在重症医学科工作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录用后在冠心病重症监护病区工作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康复医学与理疗（硕士）或临床医学（本科）或中医学（本科）或康复治疗学（本科）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录用后在康复医学科工作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临床医学或营养与食品卫生学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录用后在临床营养科工作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录用后在神经外科一病区工作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录用后在麻醉科工作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录用后在眼科工作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口腔医学（正畸）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录用后在录用后在口腔科工作工作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录用后在输血科工作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医学影像学或临床医学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录用后在超声诊断科工作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录用后从事护理工作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1984年1月1日以后出生。</w:t>
            </w:r>
          </w:p>
        </w:tc>
        <w:tc>
          <w:tcPr>
            <w:tcW w:w="2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录用后在相关科室从事科研工作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硕士研究生及以上，第一学历为普通高等教育本科及以上（不含专升本）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博士1984年1月1日以后出生；硕士1994年1月1日以后出生，同时具有毕业证、学位证、医师资格证、规培证的医师可放宽至1989年1月1日以后出生。</w:t>
            </w: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2"/>
        </w:numPr>
        <w:ind w:leftChars="0"/>
        <w:jc w:val="lef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招聘流程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招聘公告发布在信阳市卫生健康委员会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信阳市人力资源和社会保障局网站上，按照发布招聘公告、报名及现场确认、考试、体检、考察、公示、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手续等程序进行招聘。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联系方式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联系电话：</w:t>
      </w:r>
      <w:r>
        <w:rPr>
          <w:rFonts w:hint="eastAsia"/>
          <w:sz w:val="44"/>
          <w:szCs w:val="44"/>
          <w:lang w:val="en-US" w:eastAsia="zh-CN"/>
        </w:rPr>
        <w:t>0376-6251563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招聘邮箱：</w:t>
      </w:r>
      <w:r>
        <w:rPr>
          <w:rFonts w:hint="eastAsia"/>
          <w:sz w:val="44"/>
          <w:szCs w:val="44"/>
          <w:lang w:val="en-US" w:eastAsia="zh-CN"/>
        </w:rPr>
        <w:fldChar w:fldCharType="begin"/>
      </w:r>
      <w:r>
        <w:rPr>
          <w:rFonts w:hint="eastAsia"/>
          <w:sz w:val="44"/>
          <w:szCs w:val="44"/>
          <w:lang w:val="en-US" w:eastAsia="zh-CN"/>
        </w:rPr>
        <w:instrText xml:space="preserve"> HYPERLINK "mailto:rsk1563@126.com" </w:instrText>
      </w:r>
      <w:r>
        <w:rPr>
          <w:rFonts w:hint="eastAsia"/>
          <w:sz w:val="44"/>
          <w:szCs w:val="44"/>
          <w:lang w:val="en-US" w:eastAsia="zh-CN"/>
        </w:rPr>
        <w:fldChar w:fldCharType="separate"/>
      </w:r>
      <w:r>
        <w:rPr>
          <w:rStyle w:val="6"/>
          <w:rFonts w:hint="eastAsia"/>
          <w:sz w:val="44"/>
          <w:szCs w:val="44"/>
          <w:lang w:val="en-US" w:eastAsia="zh-CN"/>
        </w:rPr>
        <w:t>rsk1563@126.com</w:t>
      </w:r>
      <w:r>
        <w:rPr>
          <w:rFonts w:hint="eastAsia"/>
          <w:sz w:val="44"/>
          <w:szCs w:val="44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官网网站：https://www.xyzxyy.com.cn/</w:t>
      </w: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公众号：信阳市中心医院</w:t>
      </w:r>
    </w:p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68CEBE"/>
    <w:multiLevelType w:val="singleLevel"/>
    <w:tmpl w:val="F368CE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WRkZWI1ZDBlMjNiZWZhNTM1Zjg5Y2Q4MWFlMmEifQ=="/>
  </w:docVars>
  <w:rsids>
    <w:rsidRoot w:val="1FFE109B"/>
    <w:rsid w:val="04A546EA"/>
    <w:rsid w:val="09A14C25"/>
    <w:rsid w:val="0D306CF9"/>
    <w:rsid w:val="108820BF"/>
    <w:rsid w:val="121D4CC3"/>
    <w:rsid w:val="1FFE109B"/>
    <w:rsid w:val="2C25310B"/>
    <w:rsid w:val="2E8B1B31"/>
    <w:rsid w:val="30661679"/>
    <w:rsid w:val="3F32667F"/>
    <w:rsid w:val="3F744894"/>
    <w:rsid w:val="44C5453E"/>
    <w:rsid w:val="4CA93048"/>
    <w:rsid w:val="4E3D509F"/>
    <w:rsid w:val="534153F1"/>
    <w:rsid w:val="54AA17D0"/>
    <w:rsid w:val="59D00DFB"/>
    <w:rsid w:val="5CF61203"/>
    <w:rsid w:val="672C1DAF"/>
    <w:rsid w:val="67CC3B78"/>
    <w:rsid w:val="6E6164B5"/>
    <w:rsid w:val="6EE13820"/>
    <w:rsid w:val="7149668E"/>
    <w:rsid w:val="73A3119B"/>
    <w:rsid w:val="74E15342"/>
    <w:rsid w:val="77157AAE"/>
    <w:rsid w:val="78D50292"/>
    <w:rsid w:val="7C287875"/>
    <w:rsid w:val="7EF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2"/>
    <w:basedOn w:val="1"/>
    <w:next w:val="2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仿宋"/>
      <w:kern w:val="0"/>
      <w:szCs w:val="20"/>
      <w:lang w:eastAsia="en-US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2023-09-01T08:06:00Z</dcterms:created>
  <dc:creator>totoro 。</dc:creator>
  <cp:lastModifiedBy>u</cp:lastModifiedBy>
  <dcterms:modified xsi:type="dcterms:W3CDTF">2024-03-05T02:50:56Z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B1715C0BB1E247208E65ACC85A569F1C_13</vt:lpwstr>
  </property>
</Properties>
</file>