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14400" cy="914400"/>
            <wp:effectExtent l="0" t="0" r="0" b="0"/>
            <wp:docPr id="1" name="图片 1" descr="公司logo10m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logo10m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28875" cy="2705100"/>
            <wp:effectExtent l="0" t="0" r="9525" b="0"/>
            <wp:docPr id="2" name="图片 2" descr="公司logo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司logo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 xml:space="preserve">北京寻因生物科技有限公司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一、关于我们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Calibri" w:hAnsi="Calibri" w:eastAsia="宋体" w:cs="Times New Roman"/>
          <w:kern w:val="0"/>
          <w:sz w:val="22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2"/>
          <w:szCs w:val="24"/>
          <w:lang w:val="en-US" w:eastAsia="zh-CN" w:bidi="ar"/>
        </w:rPr>
        <w:t xml:space="preserve">北京寻因生物科技有限公司于2018年启动运营，以推动国内单细胞市场标准化、普适化为目标，致力于单细胞技术在早筛、临床、药研等应用方向的深耕落地。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Calibri" w:hAnsi="Calibri" w:eastAsia="宋体" w:cs="Times New Roman"/>
          <w:kern w:val="0"/>
          <w:sz w:val="22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2"/>
          <w:szCs w:val="24"/>
          <w:lang w:val="en-US" w:eastAsia="zh-CN" w:bidi="ar"/>
        </w:rPr>
        <w:t>公司始终坚持体系化、职业化、规范化运营，保质量、重效益，实现健康长远的发展。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二、招聘岗位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drawing>
          <wp:inline distT="0" distB="0" distL="114300" distR="114300">
            <wp:extent cx="5273675" cy="2585085"/>
            <wp:effectExtent l="0" t="0" r="3175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315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福利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员工福利：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交通补贴+餐补+年终奖金+话费补贴+出差补助+五险一金+节日礼品+员工年度体检+团建聚餐福利等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工作时间：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5天8小时工作制，享有法定节假日及带薪假期。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政府人才：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人才引进落户和工作居住证办理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四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、联系方式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杨老师：17611391063（同微信）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邮箱：hr@seekgene.com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</w:p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SC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1FB69"/>
    <w:multiLevelType w:val="singleLevel"/>
    <w:tmpl w:val="3271FB6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NzBhMWM4NmE2MDVjM2ExYTRkOWYxYTJjNGNhN2YifQ=="/>
  </w:docVars>
  <w:rsids>
    <w:rsidRoot w:val="00000000"/>
    <w:rsid w:val="2FCA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2023-03-03T09:44:01Z</dcterms:created>
  <dc:creator>86138</dc:creator>
  <cp:lastModifiedBy>86138</cp:lastModifiedBy>
  <dcterms:modified xsi:type="dcterms:W3CDTF">2023-03-03T10:09:04Z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F867ACA3CB574DC198D299CA540ECDA9</vt:lpwstr>
  </property>
</Properties>
</file>