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sz w:val="32"/>
          <w:szCs w:val="40"/>
          <w:lang w:val="en-US" w:eastAsia="zh-CN"/>
        </w:rPr>
      </w:pPr>
      <w:bookmarkStart w:id="0" w:name="_GoBack"/>
      <w:bookmarkEnd w:id="0"/>
      <w:r>
        <w:rPr>
          <w:rFonts w:hint="eastAsia" w:ascii="微软雅黑" w:hAnsi="微软雅黑" w:eastAsia="微软雅黑" w:cs="微软雅黑"/>
          <w:sz w:val="32"/>
          <w:szCs w:val="40"/>
          <w:lang w:val="en-US" w:eastAsia="zh-CN"/>
        </w:rPr>
        <w:t>长沙晶易医药2023届校园招聘简章</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20" w:firstLineChars="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公司简介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长沙晶易医药科技股份有限公司成立于2010年8月，是一家为制药企业及科研机构提供</w:t>
      </w:r>
      <w:r>
        <w:rPr>
          <w:rFonts w:hint="eastAsia" w:ascii="微软雅黑" w:hAnsi="微软雅黑" w:eastAsia="微软雅黑" w:cs="微软雅黑"/>
          <w:b w:val="0"/>
          <w:bCs w:val="0"/>
          <w:color w:val="auto"/>
          <w:sz w:val="24"/>
          <w:szCs w:val="24"/>
          <w:lang w:val="en-US" w:eastAsia="zh-CN"/>
        </w:rPr>
        <w:t>新药研发全链条服务的CRO企业。公司现有以科学家领衔，博士、高级工程师为核心的多学科专业技术人员1100余人</w:t>
      </w:r>
      <w:r>
        <w:rPr>
          <w:rFonts w:hint="eastAsia" w:ascii="微软雅黑" w:hAnsi="微软雅黑" w:eastAsia="微软雅黑" w:cs="微软雅黑"/>
          <w:b w:val="0"/>
          <w:bCs w:val="0"/>
          <w:color w:val="auto"/>
          <w:sz w:val="21"/>
          <w:szCs w:val="21"/>
          <w:lang w:val="en-US" w:eastAsia="zh-CN"/>
        </w:rPr>
        <w:t>（含控股、参股公司）</w:t>
      </w:r>
      <w:r>
        <w:rPr>
          <w:rFonts w:hint="eastAsia" w:ascii="微软雅黑" w:hAnsi="微软雅黑" w:eastAsia="微软雅黑" w:cs="微软雅黑"/>
          <w:b w:val="0"/>
          <w:bCs w:val="0"/>
          <w:sz w:val="24"/>
          <w:szCs w:val="24"/>
          <w:lang w:val="en-US" w:eastAsia="zh-CN"/>
        </w:rPr>
        <w:t>，现代化研发实验室面积25000余平方米。</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b w:val="0"/>
          <w:bCs w:val="0"/>
          <w:sz w:val="24"/>
          <w:szCs w:val="24"/>
          <w:lang w:val="en-US" w:eastAsia="zh-CN"/>
        </w:rPr>
      </w:pPr>
      <w:r>
        <w:rPr>
          <w:rFonts w:ascii="微软雅黑" w:hAnsi="微软雅黑" w:eastAsia="微软雅黑"/>
          <w:sz w:val="24"/>
          <w:szCs w:val="24"/>
        </w:rPr>
        <w:t>公司</w:t>
      </w:r>
      <w:r>
        <w:rPr>
          <w:rFonts w:hint="eastAsia" w:ascii="微软雅黑" w:hAnsi="微软雅黑" w:eastAsia="微软雅黑"/>
          <w:sz w:val="24"/>
          <w:szCs w:val="24"/>
        </w:rPr>
        <w:t>业务</w:t>
      </w:r>
      <w:r>
        <w:rPr>
          <w:rFonts w:hint="eastAsia" w:ascii="微软雅黑" w:hAnsi="微软雅黑" w:eastAsia="微软雅黑"/>
          <w:sz w:val="24"/>
          <w:szCs w:val="24"/>
          <w:lang w:val="en-US" w:eastAsia="zh-CN"/>
        </w:rPr>
        <w:t>范围</w:t>
      </w:r>
      <w:r>
        <w:rPr>
          <w:rFonts w:ascii="微软雅黑" w:hAnsi="微软雅黑" w:eastAsia="微软雅黑"/>
          <w:sz w:val="24"/>
          <w:szCs w:val="24"/>
        </w:rPr>
        <w:t>涵盖</w:t>
      </w:r>
      <w:r>
        <w:rPr>
          <w:rFonts w:hint="eastAsia" w:ascii="微软雅黑" w:hAnsi="微软雅黑" w:eastAsia="微软雅黑"/>
          <w:sz w:val="24"/>
          <w:szCs w:val="24"/>
        </w:rPr>
        <w:t>药物研发</w:t>
      </w:r>
      <w:r>
        <w:rPr>
          <w:rFonts w:ascii="微软雅黑" w:hAnsi="微软雅黑" w:eastAsia="微软雅黑"/>
          <w:sz w:val="24"/>
          <w:szCs w:val="24"/>
        </w:rPr>
        <w:t>的全</w:t>
      </w:r>
      <w:r>
        <w:rPr>
          <w:rFonts w:hint="eastAsia" w:ascii="微软雅黑" w:hAnsi="微软雅黑" w:eastAsia="微软雅黑"/>
          <w:sz w:val="24"/>
          <w:szCs w:val="24"/>
          <w:lang w:val="en-US" w:eastAsia="zh-CN"/>
        </w:rPr>
        <w:t>流</w:t>
      </w:r>
      <w:r>
        <w:rPr>
          <w:rFonts w:ascii="微软雅黑" w:hAnsi="微软雅黑" w:eastAsia="微软雅黑"/>
          <w:sz w:val="24"/>
          <w:szCs w:val="24"/>
        </w:rPr>
        <w:t>程，包括</w:t>
      </w:r>
      <w:r>
        <w:rPr>
          <w:rFonts w:hint="eastAsia" w:ascii="微软雅黑" w:hAnsi="微软雅黑" w:eastAsia="微软雅黑"/>
          <w:sz w:val="24"/>
          <w:szCs w:val="24"/>
          <w:lang w:val="en-US" w:eastAsia="zh-CN"/>
        </w:rPr>
        <w:t>药物发现与成药性评价、药学研究CMC、非临床研究（GLP）、生物分析、临床研究、原料药及制剂CDMO、</w:t>
      </w:r>
      <w:r>
        <w:rPr>
          <w:rFonts w:hint="default" w:ascii="微软雅黑" w:hAnsi="微软雅黑" w:eastAsia="微软雅黑"/>
          <w:sz w:val="24"/>
          <w:szCs w:val="24"/>
          <w:lang w:val="en-US" w:eastAsia="zh-CN"/>
        </w:rPr>
        <w:t>申报注册</w:t>
      </w:r>
      <w:r>
        <w:rPr>
          <w:rFonts w:ascii="微软雅黑" w:hAnsi="微软雅黑" w:eastAsia="微软雅黑"/>
          <w:sz w:val="24"/>
          <w:szCs w:val="24"/>
        </w:rPr>
        <w:t>。</w:t>
      </w:r>
      <w:r>
        <w:rPr>
          <w:rFonts w:hint="eastAsia" w:ascii="微软雅黑" w:hAnsi="微软雅黑" w:eastAsia="微软雅黑" w:cs="微软雅黑"/>
          <w:b w:val="0"/>
          <w:bCs w:val="0"/>
          <w:sz w:val="24"/>
          <w:szCs w:val="24"/>
          <w:lang w:val="en-US" w:eastAsia="zh-CN"/>
        </w:rPr>
        <w:t>凭借多年的积累和研发投入，公司搭建了原料药工艺开发、外用制剂、缓控释及复方制剂</w:t>
      </w:r>
      <w:r>
        <w:rPr>
          <w:rFonts w:hint="eastAsia" w:ascii="微软雅黑" w:hAnsi="微软雅黑" w:eastAsia="微软雅黑" w:cs="微软雅黑"/>
          <w:b w:val="0"/>
          <w:bCs w:val="0"/>
          <w:color w:val="auto"/>
          <w:sz w:val="24"/>
          <w:szCs w:val="24"/>
          <w:lang w:val="en-US" w:eastAsia="zh-CN"/>
        </w:rPr>
        <w:t>、</w:t>
      </w:r>
      <w:r>
        <w:rPr>
          <w:rFonts w:hint="eastAsia" w:ascii="微软雅黑" w:hAnsi="微软雅黑" w:eastAsia="微软雅黑" w:cs="微软雅黑"/>
          <w:b w:val="0"/>
          <w:bCs w:val="0"/>
          <w:sz w:val="24"/>
          <w:szCs w:val="24"/>
          <w:lang w:val="en-US" w:eastAsia="zh-CN"/>
        </w:rPr>
        <w:t>儿童制剂</w:t>
      </w:r>
      <w:r>
        <w:rPr>
          <w:rFonts w:hint="eastAsia" w:ascii="微软雅黑" w:hAnsi="微软雅黑" w:eastAsia="微软雅黑" w:cs="微软雅黑"/>
          <w:b w:val="0"/>
          <w:bCs w:val="0"/>
          <w:color w:val="auto"/>
          <w:sz w:val="24"/>
          <w:szCs w:val="24"/>
          <w:lang w:val="en-US" w:eastAsia="zh-CN"/>
        </w:rPr>
        <w:t>等</w:t>
      </w:r>
      <w:r>
        <w:rPr>
          <w:rFonts w:hint="eastAsia" w:ascii="微软雅黑" w:hAnsi="微软雅黑" w:eastAsia="微软雅黑" w:cs="微软雅黑"/>
          <w:b w:val="0"/>
          <w:bCs w:val="0"/>
          <w:sz w:val="24"/>
          <w:szCs w:val="24"/>
          <w:lang w:val="en-US" w:eastAsia="zh-CN"/>
        </w:rPr>
        <w:t>技术平台，</w:t>
      </w:r>
      <w:r>
        <w:rPr>
          <w:rFonts w:hint="eastAsia" w:ascii="微软雅黑" w:hAnsi="微软雅黑" w:eastAsia="微软雅黑" w:cs="微软雅黑"/>
          <w:b w:val="0"/>
          <w:bCs w:val="0"/>
          <w:color w:val="auto"/>
          <w:sz w:val="24"/>
          <w:szCs w:val="24"/>
          <w:lang w:val="en-US" w:eastAsia="zh-CN"/>
        </w:rPr>
        <w:t>非临床研究、</w:t>
      </w:r>
      <w:r>
        <w:rPr>
          <w:rFonts w:hint="eastAsia" w:ascii="微软雅黑" w:hAnsi="微软雅黑" w:eastAsia="微软雅黑" w:cs="微软雅黑"/>
          <w:b w:val="0"/>
          <w:bCs w:val="0"/>
          <w:sz w:val="24"/>
          <w:szCs w:val="24"/>
          <w:lang w:val="en-US" w:eastAsia="zh-CN"/>
        </w:rPr>
        <w:t>生物分析、BE、Ⅰ/Ⅱ/Ⅲ期临床等服务平台，</w:t>
      </w:r>
      <w:r>
        <w:rPr>
          <w:rFonts w:hint="eastAsia" w:ascii="微软雅黑" w:hAnsi="微软雅黑" w:eastAsia="微软雅黑" w:cs="微软雅黑"/>
          <w:b w:val="0"/>
          <w:bCs w:val="0"/>
          <w:color w:val="auto"/>
          <w:sz w:val="24"/>
          <w:szCs w:val="24"/>
          <w:lang w:val="en-US" w:eastAsia="zh-CN"/>
        </w:rPr>
        <w:t>产品线涉及心血管、呼吸、皮肤、儿科、镇痛等疾病治疗领域。创新制剂和早期临床研究是公司的核心竞争优势。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微软雅黑" w:hAnsi="微软雅黑" w:eastAsia="微软雅黑" w:cs="微软雅黑"/>
          <w:i w:val="0"/>
          <w:iCs w:val="0"/>
          <w:caps w:val="0"/>
          <w:color w:val="000000"/>
          <w:spacing w:val="0"/>
          <w:kern w:val="0"/>
          <w:sz w:val="24"/>
          <w:szCs w:val="24"/>
          <w:lang w:val="en-US" w:eastAsia="zh-CN" w:bidi="ar"/>
        </w:rPr>
      </w:pPr>
      <w:r>
        <w:rPr>
          <w:rFonts w:ascii="微软雅黑" w:hAnsi="微软雅黑" w:eastAsia="微软雅黑" w:cs="微软雅黑"/>
          <w:i w:val="0"/>
          <w:iCs w:val="0"/>
          <w:caps w:val="0"/>
          <w:color w:val="000000"/>
          <w:spacing w:val="0"/>
          <w:kern w:val="0"/>
          <w:sz w:val="24"/>
          <w:szCs w:val="24"/>
          <w:lang w:val="en-US" w:eastAsia="zh-CN" w:bidi="ar"/>
        </w:rPr>
        <w:t>立足于药物研发的关键环节，公司在</w:t>
      </w:r>
      <w:r>
        <w:rPr>
          <w:rFonts w:hint="eastAsia" w:ascii="微软雅黑" w:hAnsi="微软雅黑" w:eastAsia="微软雅黑" w:cs="微软雅黑"/>
          <w:i w:val="0"/>
          <w:iCs w:val="0"/>
          <w:caps w:val="0"/>
          <w:color w:val="000000"/>
          <w:spacing w:val="0"/>
          <w:kern w:val="0"/>
          <w:sz w:val="24"/>
          <w:szCs w:val="24"/>
          <w:lang w:val="en-US" w:eastAsia="zh-CN" w:bidi="ar"/>
        </w:rPr>
        <w:t>2020年成立了科学技术专家委员会，由来自清华大学、北京大学、复旦大学、中南大学、暨南大学、中国药科大学和华西药学院等高校的专家、学者组成</w:t>
      </w:r>
      <w:r>
        <w:rPr>
          <w:rFonts w:hint="eastAsia" w:ascii="微软雅黑" w:hAnsi="微软雅黑" w:eastAsia="微软雅黑" w:cs="微软雅黑"/>
          <w:i w:val="0"/>
          <w:iCs w:val="0"/>
          <w:caps w:val="0"/>
          <w:color w:val="auto"/>
          <w:spacing w:val="0"/>
          <w:kern w:val="0"/>
          <w:sz w:val="24"/>
          <w:szCs w:val="24"/>
          <w:lang w:val="en-US" w:eastAsia="zh-CN" w:bidi="ar"/>
        </w:rPr>
        <w:t>，学术领域覆盖创新药研发全流程。</w:t>
      </w:r>
      <w:r>
        <w:rPr>
          <w:rFonts w:hint="eastAsia" w:ascii="微软雅黑" w:hAnsi="微软雅黑" w:eastAsia="微软雅黑" w:cs="微软雅黑"/>
          <w:i w:val="0"/>
          <w:iCs w:val="0"/>
          <w:caps w:val="0"/>
          <w:color w:val="000000"/>
          <w:spacing w:val="0"/>
          <w:kern w:val="0"/>
          <w:sz w:val="24"/>
          <w:szCs w:val="24"/>
          <w:lang w:val="en-US" w:eastAsia="zh-CN" w:bidi="ar"/>
        </w:rPr>
        <w:t>科学技术专家委员会为公司产品开发的技术难点解决及重大项目立项可行性论证等提供技术支持。</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目前，公司与境内外（含港澳、欧美）210余家医药企业建立了合作关系，客户群包括原料药龙头企业、制剂生产销售出口型头部企业、中国中药十强企业等。并且已于2022年4月在成都成立新子公司，旨在为全国不同地区的客户提供更快、更好的服务，真正实现为客户创造价值，打造专注于药物研发的高水平技术服务公司。成都子公司主要针对医药企业及相关研发机构提供全方位的技术服务，并以高质、高效的服务帮助医药企业缩短药物研发周期、解决技术难题、降低研发成本。服务范围覆盖小分子创新药、新型高端制剂平台项目及中试研发，改良药、仿制药及一致性评价的早期研发等。</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未来，晶易医药将继续专注于</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新药研发全链条</w:t>
      </w:r>
      <w:r>
        <w:rPr>
          <w:rFonts w:hint="eastAsia" w:ascii="微软雅黑" w:hAnsi="微软雅黑" w:eastAsia="微软雅黑" w:cs="微软雅黑"/>
          <w:b w:val="0"/>
          <w:bCs w:val="0"/>
          <w:sz w:val="24"/>
          <w:szCs w:val="24"/>
          <w:lang w:val="en-US" w:eastAsia="zh-CN"/>
        </w:rPr>
        <w:t>CRO服务领域，</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在创新药、创新制剂及临床研究等领域加大投资，关注行业需求、攻克技术难题</w:t>
      </w:r>
      <w:r>
        <w:rPr>
          <w:rFonts w:hint="eastAsia" w:ascii="微软雅黑" w:hAnsi="微软雅黑" w:eastAsia="微软雅黑" w:cs="微软雅黑"/>
          <w:b w:val="0"/>
          <w:bCs w:val="0"/>
          <w:sz w:val="24"/>
          <w:szCs w:val="24"/>
          <w:lang w:val="en-US" w:eastAsia="zh-CN"/>
        </w:rPr>
        <w:t>，做中国最好的新药研发技术服务人。</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微软雅黑" w:cs="微软雅黑"/>
          <w:b w:val="0"/>
          <w:bCs w:val="0"/>
          <w:sz w:val="24"/>
          <w:szCs w:val="24"/>
          <w:lang w:val="en-US" w:eastAsia="zh-CN"/>
        </w:rPr>
      </w:pPr>
    </w:p>
    <w:p>
      <w:pPr>
        <w:numPr>
          <w:ilvl w:val="0"/>
          <w:numId w:val="1"/>
        </w:numPr>
        <w:ind w:left="0" w:leftChars="0"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招聘岗位</w:t>
      </w:r>
    </w:p>
    <w:tbl>
      <w:tblPr>
        <w:tblStyle w:val="4"/>
        <w:tblW w:w="9506" w:type="dxa"/>
        <w:tblInd w:w="-6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37"/>
        <w:gridCol w:w="1309"/>
        <w:gridCol w:w="6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岗位</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学历</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专业要求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9506" w:type="dxa"/>
            <w:gridSpan w:val="3"/>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药学体系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合成研究员</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硕士及以上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药学、药物化学、化学、有机化学、有机合成等相关专业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制剂研究员</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本科及以上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药学、药物制剂、药剂学等相关专业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分析研究员</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本科及以上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药学、药剂学、药物分析、化学、分析化学等相关专业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项目经理</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硕士及以上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药剂学、药学、化学、药理学等相关专业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生物分析研究员</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本科及以上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药学、药物分析、药物制剂、药物化学、生物、化学等相关专业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506" w:type="dxa"/>
            <w:gridSpan w:val="3"/>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shd w:val="clear" w:fill="DEEBF6" w:themeFill="accent1" w:themeFillTint="32"/>
                <w:lang w:val="en-US" w:eastAsia="zh-CN" w:bidi="ar"/>
              </w:rPr>
              <w:t>临床体系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临床监查员</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本科及以上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医学、药学、临床等相关专业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临床医学专员</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硕士及以上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医学、药学、临床医学等相关专业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临床统计专员</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本科及以上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流行病学、流行病与卫生统计学等相关专业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数据管理专员</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本科及以上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医学、药学、临床医学等相关专业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临床协调员</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本科及以上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医学、药学、生物、化学、临床、护理、卫生等相关专业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医学经理</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博士</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医学等相关专业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506" w:type="dxa"/>
            <w:gridSpan w:val="3"/>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非临床体系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药效学SD助理</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硕士及以上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药理学、毒理学、动物医学等相关专业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一般毒理SD助理</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硕士及以上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药学、药理学、毒理学、生物学、临床医学等相关专业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生物分析助理研究员</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本科及以上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药学、药物分析等相关专业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动物实验技术员</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本科及以上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药理学、毒理学、临床医学、生物学、动物医学、兽医学等相关专业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506" w:type="dxa"/>
            <w:gridSpan w:val="3"/>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职能体系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人事专员</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本科及以上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药学、人力资源管理等相关专业优先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财务专员</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本科及以上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财务等相关专业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采购专员</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本科及以上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药学相关专业优先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市场策划专员</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本科及以上</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医学、药学、化学、工商管理、市场营销等相关专业</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both"/>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both"/>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both"/>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both"/>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both"/>
        <w:textAlignment w:val="auto"/>
        <w:rPr>
          <w:rFonts w:hint="eastAsia"/>
        </w:rPr>
      </w:pPr>
      <w:r>
        <w:rPr>
          <w:rFonts w:hint="eastAsia" w:ascii="微软雅黑" w:hAnsi="微软雅黑" w:eastAsia="微软雅黑" w:cs="微软雅黑"/>
          <w:sz w:val="24"/>
          <w:szCs w:val="24"/>
          <w:lang w:val="en-US" w:eastAsia="zh-CN"/>
        </w:rPr>
        <w:t>三、宣讲安排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宣讲时间：202</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16</w:t>
      </w:r>
      <w:r>
        <w:rPr>
          <w:rFonts w:hint="eastAsia" w:ascii="微软雅黑" w:hAnsi="微软雅黑" w:eastAsia="微软雅黑" w:cs="微软雅黑"/>
          <w:sz w:val="21"/>
          <w:szCs w:val="21"/>
        </w:rPr>
        <w:t>日1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20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宣讲形式：</w:t>
      </w:r>
      <w:r>
        <w:rPr>
          <w:rFonts w:hint="eastAsia" w:ascii="微软雅黑" w:hAnsi="微软雅黑" w:eastAsia="微软雅黑" w:cs="微软雅黑"/>
          <w:sz w:val="21"/>
          <w:szCs w:val="21"/>
          <w:lang w:val="en-US" w:eastAsia="zh-CN"/>
        </w:rPr>
        <w:t>线下宣讲</w:t>
      </w:r>
    </w:p>
    <w:p>
      <w:pP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宣讲会地址</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四川大学</w:t>
      </w:r>
      <w:r>
        <w:rPr>
          <w:rFonts w:hint="eastAsia" w:ascii="微软雅黑" w:hAnsi="微软雅黑" w:eastAsia="微软雅黑" w:cs="微软雅黑"/>
          <w:sz w:val="21"/>
          <w:szCs w:val="21"/>
        </w:rPr>
        <w:t>望江校区就业指导中心215室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加入群聊，了解更多详细信息：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drawing>
          <wp:inline distT="0" distB="0" distL="114300" distR="114300">
            <wp:extent cx="1727200" cy="16891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727200" cy="1689100"/>
                    </a:xfrm>
                    <a:prstGeom prst="rect">
                      <a:avLst/>
                    </a:prstGeom>
                    <a:noFill/>
                    <a:ln>
                      <a:noFill/>
                    </a:ln>
                  </pic:spPr>
                </pic:pic>
              </a:graphicData>
            </a:graphic>
          </wp:inline>
        </w:drawing>
      </w:r>
    </w:p>
    <w:p>
      <w:pPr>
        <w:numPr>
          <w:ilvl w:val="0"/>
          <w:numId w:val="0"/>
        </w:numPr>
        <w:jc w:val="both"/>
        <w:rPr>
          <w:rFonts w:hint="default" w:ascii="微软雅黑" w:hAnsi="微软雅黑" w:cs="微软雅黑" w:eastAsiaTheme="minorEastAsia"/>
          <w:sz w:val="28"/>
          <w:szCs w:val="28"/>
          <w:lang w:val="en-US" w:eastAsia="zh-CN"/>
        </w:rPr>
      </w:pPr>
      <w:r>
        <w:rPr>
          <w:rFonts w:hint="eastAsia" w:ascii="微软雅黑" w:hAnsi="微软雅黑" w:eastAsia="微软雅黑" w:cs="微软雅黑"/>
          <w:sz w:val="21"/>
          <w:szCs w:val="21"/>
        </w:rPr>
        <w:t>可选工作城市：</w:t>
      </w:r>
      <w:r>
        <w:rPr>
          <w:rFonts w:hint="eastAsia" w:ascii="微软雅黑" w:hAnsi="微软雅黑" w:eastAsia="微软雅黑" w:cs="微软雅黑"/>
          <w:sz w:val="21"/>
          <w:szCs w:val="21"/>
          <w:lang w:val="en-US" w:eastAsia="zh-CN"/>
        </w:rPr>
        <w:t>长沙、成都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both"/>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四、福利待遇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双休及</w:t>
      </w:r>
      <w:r>
        <w:rPr>
          <w:rFonts w:hint="eastAsia" w:ascii="微软雅黑" w:hAnsi="微软雅黑" w:eastAsia="微软雅黑" w:cs="微软雅黑"/>
          <w:sz w:val="21"/>
          <w:szCs w:val="21"/>
          <w:lang w:val="en-US" w:eastAsia="zh-CN"/>
        </w:rPr>
        <w:t>五险一金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节日礼金、带薪年假</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年度体检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3、导师</w:t>
      </w:r>
      <w:r>
        <w:rPr>
          <w:rFonts w:hint="eastAsia" w:ascii="微软雅黑" w:hAnsi="微软雅黑" w:eastAsia="微软雅黑" w:cs="微软雅黑"/>
          <w:sz w:val="21"/>
          <w:szCs w:val="21"/>
        </w:rPr>
        <w:t>带教</w:t>
      </w:r>
      <w:r>
        <w:rPr>
          <w:rFonts w:hint="eastAsia" w:ascii="微软雅黑" w:hAnsi="微软雅黑" w:eastAsia="微软雅黑" w:cs="微软雅黑"/>
          <w:sz w:val="21"/>
          <w:szCs w:val="21"/>
          <w:lang w:val="en-US" w:eastAsia="zh-CN"/>
        </w:rPr>
        <w:t>制&amp;完善的培养体系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1"/>
          <w:szCs w:val="21"/>
          <w:lang w:val="en-US" w:eastAsia="zh-CN"/>
        </w:rPr>
        <w:t>4、双通道晋升</w:t>
      </w:r>
    </w:p>
    <w:p>
      <w:pPr>
        <w:numPr>
          <w:ilvl w:val="0"/>
          <w:numId w:val="0"/>
        </w:numPr>
        <w:ind w:left="420" w:left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五、招聘对象</w:t>
      </w:r>
    </w:p>
    <w:p>
      <w:pPr>
        <w:numPr>
          <w:ilvl w:val="0"/>
          <w:numId w:val="0"/>
        </w:numPr>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2023届毕业的本科、硕士、博士应届毕业生</w:t>
      </w:r>
    </w:p>
    <w:p>
      <w:pPr>
        <w:numPr>
          <w:ilvl w:val="0"/>
          <w:numId w:val="0"/>
        </w:numPr>
        <w:ind w:left="420" w:left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六、招聘流程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简历投递—简历筛选—</w:t>
      </w:r>
      <w:r>
        <w:rPr>
          <w:rFonts w:hint="eastAsia" w:ascii="微软雅黑" w:hAnsi="微软雅黑" w:eastAsia="微软雅黑" w:cs="微软雅黑"/>
          <w:sz w:val="21"/>
          <w:szCs w:val="21"/>
          <w:lang w:val="en-US" w:eastAsia="zh-CN"/>
        </w:rPr>
        <w:t>初</w:t>
      </w:r>
      <w:r>
        <w:rPr>
          <w:rFonts w:hint="eastAsia" w:ascii="微软雅黑" w:hAnsi="微软雅黑" w:eastAsia="微软雅黑" w:cs="微软雅黑"/>
          <w:sz w:val="21"/>
          <w:szCs w:val="21"/>
        </w:rPr>
        <w:t>试</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复试</w:t>
      </w:r>
      <w:r>
        <w:rPr>
          <w:rFonts w:hint="eastAsia" w:ascii="微软雅黑" w:hAnsi="微软雅黑" w:eastAsia="微软雅黑" w:cs="微软雅黑"/>
          <w:sz w:val="21"/>
          <w:szCs w:val="21"/>
        </w:rPr>
        <w:t>—offer—入职</w:t>
      </w:r>
    </w:p>
    <w:p>
      <w:pPr>
        <w:numPr>
          <w:ilvl w:val="0"/>
          <w:numId w:val="0"/>
        </w:numPr>
        <w:ind w:left="420" w:left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七、联系方式</w:t>
      </w:r>
    </w:p>
    <w:p>
      <w:pPr>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1、可扫描二维码直接网投</w:t>
      </w:r>
    </w:p>
    <w:p>
      <w:pPr>
        <w:numPr>
          <w:ilvl w:val="0"/>
          <w:numId w:val="0"/>
        </w:numPr>
        <w:jc w:val="both"/>
        <w:rPr>
          <w:rFonts w:hint="default" w:ascii="微软雅黑" w:hAnsi="微软雅黑" w:eastAsia="微软雅黑" w:cs="微软雅黑"/>
          <w:sz w:val="24"/>
          <w:szCs w:val="24"/>
          <w:lang w:val="en-US" w:eastAsia="zh-CN"/>
        </w:rPr>
      </w:pPr>
      <w:r>
        <w:rPr>
          <w:rFonts w:hint="default" w:ascii="微软雅黑" w:hAnsi="微软雅黑" w:eastAsia="微软雅黑" w:cs="微软雅黑"/>
          <w:sz w:val="24"/>
          <w:szCs w:val="24"/>
          <w:lang w:val="en-US" w:eastAsia="zh-CN"/>
        </w:rPr>
        <w:drawing>
          <wp:inline distT="0" distB="0" distL="114300" distR="114300">
            <wp:extent cx="1157605" cy="1157605"/>
            <wp:effectExtent l="0" t="0" r="635" b="635"/>
            <wp:docPr id="3" name="图片 3" descr="23届校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3届校招二维码"/>
                    <pic:cNvPicPr>
                      <a:picLocks noChangeAspect="1"/>
                    </pic:cNvPicPr>
                  </pic:nvPicPr>
                  <pic:blipFill>
                    <a:blip r:embed="rId5"/>
                    <a:stretch>
                      <a:fillRect/>
                    </a:stretch>
                  </pic:blipFill>
                  <pic:spPr>
                    <a:xfrm>
                      <a:off x="0" y="0"/>
                      <a:ext cx="1157605" cy="1157605"/>
                    </a:xfrm>
                    <a:prstGeom prst="rect">
                      <a:avLst/>
                    </a:prstGeom>
                  </pic:spPr>
                </pic:pic>
              </a:graphicData>
            </a:graphic>
          </wp:inline>
        </w:drawing>
      </w:r>
    </w:p>
    <w:p>
      <w:pPr>
        <w:numPr>
          <w:ilvl w:val="0"/>
          <w:numId w:val="0"/>
        </w:numPr>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2、简历投递邮箱</w:t>
      </w:r>
    </w:p>
    <w:p>
      <w:pPr>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fldChar w:fldCharType="begin"/>
      </w:r>
      <w:r>
        <w:rPr>
          <w:rFonts w:hint="eastAsia" w:ascii="微软雅黑" w:hAnsi="微软雅黑" w:eastAsia="微软雅黑" w:cs="微软雅黑"/>
          <w:sz w:val="24"/>
          <w:szCs w:val="24"/>
          <w:lang w:val="en-US" w:eastAsia="zh-CN"/>
        </w:rPr>
        <w:instrText xml:space="preserve"> HYPERLINK "mailto:campus@king-eagle.cn" </w:instrText>
      </w:r>
      <w:r>
        <w:rPr>
          <w:rFonts w:hint="eastAsia" w:ascii="微软雅黑" w:hAnsi="微软雅黑" w:eastAsia="微软雅黑" w:cs="微软雅黑"/>
          <w:sz w:val="24"/>
          <w:szCs w:val="24"/>
          <w:lang w:val="en-US" w:eastAsia="zh-CN"/>
        </w:rPr>
        <w:fldChar w:fldCharType="separate"/>
      </w:r>
      <w:r>
        <w:rPr>
          <w:rStyle w:val="6"/>
          <w:rFonts w:hint="eastAsia" w:ascii="微软雅黑" w:hAnsi="微软雅黑" w:eastAsia="微软雅黑" w:cs="微软雅黑"/>
          <w:sz w:val="24"/>
          <w:szCs w:val="24"/>
          <w:lang w:val="en-US" w:eastAsia="zh-CN"/>
        </w:rPr>
        <w:t>campus@king-eagle.cn</w:t>
      </w:r>
      <w:r>
        <w:rPr>
          <w:rFonts w:hint="eastAsia" w:ascii="微软雅黑" w:hAnsi="微软雅黑" w:eastAsia="微软雅黑" w:cs="微软雅黑"/>
          <w:sz w:val="24"/>
          <w:szCs w:val="24"/>
          <w:lang w:val="en-US" w:eastAsia="zh-CN"/>
        </w:rPr>
        <w:fldChar w:fldCharType="end"/>
      </w:r>
    </w:p>
    <w:p>
      <w:pPr>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联系电话：0731-85868929</w:t>
      </w:r>
    </w:p>
    <w:p>
      <w:pPr>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总部地址：湖南省长沙市岳麓区麓天路五矿麓谷科技产业园A3栋</w:t>
      </w:r>
    </w:p>
    <w:p>
      <w:pPr>
        <w:numPr>
          <w:ilvl w:val="0"/>
          <w:numId w:val="0"/>
        </w:numPr>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成都子公司地址：四川省成都市双流区天府国际生物园H1栋5F</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B5BA9"/>
    <w:multiLevelType w:val="singleLevel"/>
    <w:tmpl w:val="C00B5BA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MTc5NWY3MGI3MDgwMjc3MDI2YzVkNGVjYWZiYmMifQ=="/>
    <w:docVar w:name="KSO_WPS_MARK_KEY" w:val="8c568a4a-b31b-4c90-a141-a772f73e9dfc"/>
  </w:docVars>
  <w:rsids>
    <w:rsidRoot w:val="00000000"/>
    <w:rsid w:val="02B07BA4"/>
    <w:rsid w:val="0FCA2A69"/>
    <w:rsid w:val="13AB32CF"/>
    <w:rsid w:val="145B3DF5"/>
    <w:rsid w:val="16F10796"/>
    <w:rsid w:val="311C02B2"/>
    <w:rsid w:val="37AB6212"/>
    <w:rsid w:val="3A90208C"/>
    <w:rsid w:val="4146380B"/>
    <w:rsid w:val="445C615D"/>
    <w:rsid w:val="4D502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cs="宋体" w:asciiTheme="minorAscii" w:hAnsiTheme="minorAscii" w:eastAsiaTheme="minorEastAsia"/>
      <w:kern w:val="44"/>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1411</Words>
  <Characters>1497</Characters>
  <Lines>0</Lines>
  <Paragraphs>0</Paragraphs>
  <TotalTime>2</TotalTime>
  <ScaleCrop>false</ScaleCrop>
  <LinksUpToDate>false</LinksUpToDate>
  <CharactersWithSpaces>1497</CharactersWithSpaces>
  <Application>WPS Office_11.1.0.10358_F1E327BC-269C-435d-A152-05C5408002CA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15975</dc:creator>
  <cp:lastModifiedBy>换小马甲了</cp:lastModifiedBy>
  <dcterms:modified xsi:type="dcterms:W3CDTF">2023-03-01T10:28:02Z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2052-11.1.0.10358</vt:lpwstr>
  </property>
  <property fmtid="{D5CDD505-2E9C-101B-9397-08002B2CF9AE}" pid="3" name="ICV">
    <vt:lpwstr>8DD0605AB8AD4AC88243961C28605DA7</vt:lpwstr>
  </property>
</Properties>
</file>