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bCs/>
          <w:sz w:val="28"/>
          <w:szCs w:val="20"/>
        </w:rPr>
      </w:pPr>
      <w:r>
        <w:rPr>
          <w:rFonts w:ascii="微软雅黑" w:hAnsi="微软雅黑" w:eastAsia="微软雅黑" w:cs="Arial"/>
          <w:b/>
          <w:sz w:val="28"/>
          <w:szCs w:val="20"/>
        </w:rPr>
        <w:t>百融云创</w:t>
      </w:r>
      <w:r>
        <w:rPr>
          <w:rFonts w:hint="eastAsia" w:ascii="微软雅黑" w:hAnsi="微软雅黑" w:eastAsia="微软雅黑" w:cs="Arial"/>
          <w:b/>
          <w:sz w:val="28"/>
          <w:szCs w:val="20"/>
        </w:rPr>
        <w:t xml:space="preserve"> </w:t>
      </w:r>
      <w:r>
        <w:rPr>
          <w:rFonts w:hint="eastAsia" w:ascii="微软雅黑" w:hAnsi="微软雅黑" w:eastAsia="微软雅黑"/>
          <w:b/>
          <w:bCs/>
          <w:sz w:val="28"/>
          <w:szCs w:val="20"/>
        </w:rPr>
        <w:t>新星向“融”2</w:t>
      </w:r>
      <w:r>
        <w:rPr>
          <w:rFonts w:ascii="微软雅黑" w:hAnsi="微软雅黑" w:eastAsia="微软雅黑"/>
          <w:b/>
          <w:bCs/>
          <w:sz w:val="28"/>
          <w:szCs w:val="20"/>
        </w:rPr>
        <w:t>02</w:t>
      </w:r>
      <w:r>
        <w:rPr>
          <w:rFonts w:hint="eastAsia" w:ascii="微软雅黑" w:hAnsi="微软雅黑" w:eastAsia="微软雅黑"/>
          <w:b/>
          <w:bCs/>
          <w:sz w:val="28"/>
          <w:szCs w:val="20"/>
        </w:rPr>
        <w:t>3校园招聘简章</w:t>
      </w:r>
    </w:p>
    <w:p>
      <w:pPr>
        <w:jc w:val="center"/>
        <w:rPr>
          <w:rFonts w:ascii="微软雅黑" w:hAnsi="微软雅黑" w:eastAsia="微软雅黑"/>
          <w:b/>
          <w:bCs/>
          <w:sz w:val="24"/>
          <w:szCs w:val="20"/>
        </w:rPr>
      </w:pPr>
      <w:r>
        <w:rPr>
          <w:rFonts w:hint="eastAsia" w:ascii="微软雅黑" w:hAnsi="微软雅黑" w:eastAsia="微软雅黑"/>
          <w:b/>
          <w:bCs/>
          <w:sz w:val="24"/>
          <w:szCs w:val="20"/>
        </w:rPr>
        <w:t>网申链接：</w:t>
      </w:r>
      <w:r>
        <w:rPr>
          <w:rFonts w:ascii="微软雅黑" w:hAnsi="微软雅黑" w:eastAsia="微软雅黑"/>
          <w:b/>
          <w:bCs/>
          <w:sz w:val="24"/>
          <w:szCs w:val="20"/>
        </w:rPr>
        <w:t xml:space="preserve"> </w:t>
      </w:r>
      <w:r>
        <w:fldChar w:fldCharType="begin"/>
      </w:r>
      <w:r>
        <w:instrText xml:space="preserve"> HYPERLINK "http://campus.51job.com/bryc2023"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t>http://campus.51job.com/bryc2023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Cs w:val="20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bCs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1"/>
        </w:rPr>
        <w:t>公司简介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百融云创（股票代码：6608.HK）成立于2014年3月，2021年3月在香港主板成功上市。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作为中国金融行业数智化发展优质合作伙伴，百融云创独立研发的SaaS云突破性运用人工智能、云计算、区块链和机器学习等技术，为金融行业提供高适配性的产品及解决方案，实现全面赋能，并基于长期的行业理解和洞察，帮助合作机构完成数智化转型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源于创始团队的技术基因，百融云创沉淀了一系列技术应用端的延展及创新应用，例如行业首个ISO27701隐私信息管理体系认证，率先完成从信息安全管理体系到隐私管理体系的拓展；发明专利“一种基于联邦学习的移动端信用反欺诈预估方法及系统”技术从底层逻辑上化解“隐私交换便利”的困局；同时，百融通过了中国人民银行首批企业征信备案；被人民日报中国经济论坛评选为“2019年中国创新榜样”；被新华社瞭望智库评选为“十三五高新科技引领示范案例”；并通过公安部国家信息安全等级保护三级认证等。数字技术和安全能力获得权威组织的高度认可，成为行业领域技术应用创新延展的探路者和引领者。</w:t>
      </w:r>
    </w:p>
    <w:p>
      <w:pPr>
        <w:rPr>
          <w:rFonts w:ascii="微软雅黑" w:hAnsi="微软雅黑" w:eastAsia="微软雅黑"/>
          <w:b/>
          <w:bCs/>
          <w:sz w:val="22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凭借出色的前沿技术和数智化能力，百融云创与六大国有银行、十二家全国性股份制银行、上千家城市商业银行和农村商业银行，金融科技公司、消费金融公司、汽车金融公司、保险公司等超6000家金融机构达成合作并提供专业服务。</w:t>
      </w:r>
    </w:p>
    <w:p>
      <w:pPr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sz w:val="20"/>
          <w:szCs w:val="20"/>
        </w:rPr>
        <w:t>未来，百融云创将持续探索和深化前沿技术应用开发，助力金融机构数智化转型，引领构建行业生态。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bCs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1"/>
        </w:rPr>
        <w:t>招聘岗位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2"/>
          <w:szCs w:val="20"/>
        </w:rPr>
        <w:t>数据建模类：</w:t>
      </w:r>
      <w:r>
        <w:rPr>
          <w:rFonts w:hint="eastAsia" w:ascii="微软雅黑" w:hAnsi="微软雅黑" w:eastAsia="微软雅黑"/>
          <w:bCs/>
          <w:sz w:val="20"/>
          <w:szCs w:val="20"/>
        </w:rPr>
        <w:t>数据分析师（北京、上海、深圳、成都、重庆）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2"/>
          <w:szCs w:val="20"/>
        </w:rPr>
        <w:t>研发类</w:t>
      </w:r>
      <w:r>
        <w:rPr>
          <w:rFonts w:hint="eastAsia" w:ascii="微软雅黑" w:hAnsi="微软雅黑" w:eastAsia="微软雅黑"/>
          <w:bCs/>
          <w:sz w:val="20"/>
          <w:szCs w:val="20"/>
        </w:rPr>
        <w:t>：数据分析师（北京）、用户研究（北京）、研发工程师（北京）、数据工程师（北京）、测试工程师（北京）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2"/>
          <w:szCs w:val="20"/>
        </w:rPr>
        <w:t>运营类：</w:t>
      </w:r>
      <w:r>
        <w:rPr>
          <w:rFonts w:hint="eastAsia" w:ascii="微软雅黑" w:hAnsi="微软雅黑" w:eastAsia="微软雅黑"/>
          <w:bCs/>
          <w:sz w:val="20"/>
          <w:szCs w:val="20"/>
        </w:rPr>
        <w:t>渠道运营（北京）</w:t>
      </w:r>
    </w:p>
    <w:p>
      <w:pPr>
        <w:pStyle w:val="11"/>
        <w:numPr>
          <w:ilvl w:val="0"/>
          <w:numId w:val="2"/>
        </w:numPr>
        <w:ind w:firstLineChars="0"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sz w:val="22"/>
          <w:szCs w:val="20"/>
        </w:rPr>
        <w:t>职能类：</w:t>
      </w:r>
      <w:r>
        <w:rPr>
          <w:rFonts w:hint="eastAsia" w:ascii="微软雅黑" w:hAnsi="微软雅黑" w:eastAsia="微软雅黑"/>
          <w:bCs/>
          <w:sz w:val="20"/>
          <w:szCs w:val="20"/>
        </w:rPr>
        <w:t>行政专员（北京）、法务专员（北京）、合规专员（北京）</w:t>
      </w:r>
    </w:p>
    <w:p>
      <w:pPr>
        <w:rPr>
          <w:rFonts w:ascii="微软雅黑" w:hAnsi="微软雅黑" w:eastAsia="微软雅黑"/>
          <w:b/>
          <w:bCs/>
          <w:sz w:val="24"/>
          <w:szCs w:val="21"/>
        </w:rPr>
      </w:pPr>
    </w:p>
    <w:p>
      <w:pPr>
        <w:numPr>
          <w:ilvl w:val="0"/>
          <w:numId w:val="1"/>
        </w:numPr>
        <w:rPr>
          <w:rFonts w:ascii="微软雅黑" w:hAnsi="微软雅黑" w:eastAsia="微软雅黑"/>
          <w:b/>
          <w:bCs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1"/>
        </w:rPr>
        <w:t>福利待遇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* 完整的薪酬体系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年底双薪、绩效奖金、年度调薪、项目奖金、股票期权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* </w:t>
      </w:r>
      <w:r>
        <w:rPr>
          <w:rFonts w:hint="eastAsia" w:ascii="微软雅黑" w:hAnsi="微软雅黑" w:eastAsia="微软雅黑"/>
          <w:bCs/>
          <w:sz w:val="20"/>
          <w:szCs w:val="20"/>
        </w:rPr>
        <w:t>健全</w:t>
      </w:r>
      <w:r>
        <w:rPr>
          <w:rFonts w:ascii="微软雅黑" w:hAnsi="微软雅黑" w:eastAsia="微软雅黑"/>
          <w:bCs/>
          <w:sz w:val="20"/>
          <w:szCs w:val="20"/>
        </w:rPr>
        <w:t>的生活保障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弹性上班、六险一金、年度体检、带薪年假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* </w:t>
      </w:r>
      <w:r>
        <w:rPr>
          <w:rFonts w:hint="eastAsia" w:ascii="微软雅黑" w:hAnsi="微软雅黑" w:eastAsia="微软雅黑"/>
          <w:bCs/>
          <w:sz w:val="20"/>
          <w:szCs w:val="20"/>
        </w:rPr>
        <w:t>全方位福利优享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午餐补贴、交通补贴、话费补贴、生日积分、节假日福利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ascii="微软雅黑" w:hAnsi="微软雅黑" w:eastAsia="微软雅黑"/>
          <w:bCs/>
          <w:sz w:val="20"/>
          <w:szCs w:val="20"/>
        </w:rPr>
        <w:t>* 专业的人才培养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新人导师、校招素质拓展、人才训练营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百融云学园（行业、技术、产品全覆盖培训）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</w:p>
    <w:p>
      <w:pPr>
        <w:numPr>
          <w:ilvl w:val="0"/>
          <w:numId w:val="1"/>
        </w:numPr>
        <w:rPr>
          <w:rFonts w:ascii="微软雅黑" w:hAnsi="微软雅黑" w:eastAsia="微软雅黑"/>
          <w:b/>
          <w:bCs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1"/>
        </w:rPr>
        <w:t>招聘流程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网申</w:t>
      </w:r>
      <w:r>
        <w:rPr>
          <w:rFonts w:ascii="微软雅黑" w:hAnsi="微软雅黑" w:eastAsia="微软雅黑"/>
          <w:bCs/>
          <w:sz w:val="20"/>
          <w:szCs w:val="20"/>
        </w:rPr>
        <w:t>-</w:t>
      </w:r>
      <w:r>
        <w:rPr>
          <w:rFonts w:hint="eastAsia" w:ascii="微软雅黑" w:hAnsi="微软雅黑" w:eastAsia="微软雅黑"/>
          <w:bCs/>
          <w:sz w:val="20"/>
          <w:szCs w:val="20"/>
        </w:rPr>
        <w:t>简历筛选-用人部门筛选-业务部门筛选-</w:t>
      </w:r>
      <w:r>
        <w:rPr>
          <w:rFonts w:ascii="微软雅黑" w:hAnsi="微软雅黑" w:eastAsia="微软雅黑"/>
          <w:bCs/>
          <w:sz w:val="20"/>
          <w:szCs w:val="20"/>
        </w:rPr>
        <w:t>HR</w:t>
      </w:r>
      <w:r>
        <w:rPr>
          <w:rFonts w:hint="eastAsia" w:ascii="微软雅黑" w:hAnsi="微软雅黑" w:eastAsia="微软雅黑"/>
          <w:bCs/>
          <w:sz w:val="20"/>
          <w:szCs w:val="20"/>
        </w:rPr>
        <w:t>面试</w:t>
      </w:r>
      <w:r>
        <w:rPr>
          <w:rFonts w:ascii="微软雅黑" w:hAnsi="微软雅黑" w:eastAsia="微软雅黑"/>
          <w:bCs/>
          <w:sz w:val="20"/>
          <w:szCs w:val="20"/>
        </w:rPr>
        <w:t>-</w:t>
      </w:r>
      <w:r>
        <w:rPr>
          <w:rFonts w:hint="eastAsia" w:ascii="微软雅黑" w:hAnsi="微软雅黑" w:eastAsia="微软雅黑"/>
          <w:bCs/>
          <w:sz w:val="20"/>
          <w:szCs w:val="20"/>
        </w:rPr>
        <w:t>沟通</w:t>
      </w:r>
      <w:r>
        <w:rPr>
          <w:rFonts w:ascii="微软雅黑" w:hAnsi="微软雅黑" w:eastAsia="微软雅黑"/>
          <w:bCs/>
          <w:sz w:val="20"/>
          <w:szCs w:val="20"/>
        </w:rPr>
        <w:t>offer-</w:t>
      </w:r>
      <w:r>
        <w:rPr>
          <w:rFonts w:hint="eastAsia" w:ascii="微软雅黑" w:hAnsi="微软雅黑" w:eastAsia="微软雅黑"/>
          <w:bCs/>
          <w:sz w:val="20"/>
          <w:szCs w:val="20"/>
        </w:rPr>
        <w:t>待</w:t>
      </w:r>
      <w:r>
        <w:rPr>
          <w:rFonts w:ascii="微软雅黑" w:hAnsi="微软雅黑" w:eastAsia="微软雅黑"/>
          <w:bCs/>
          <w:sz w:val="20"/>
          <w:szCs w:val="20"/>
        </w:rPr>
        <w:t>入职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</w:p>
    <w:p>
      <w:pPr>
        <w:numPr>
          <w:ilvl w:val="0"/>
          <w:numId w:val="1"/>
        </w:numPr>
        <w:rPr>
          <w:rFonts w:ascii="微软雅黑" w:hAnsi="微软雅黑" w:eastAsia="微软雅黑"/>
          <w:b/>
          <w:bCs/>
          <w:sz w:val="24"/>
          <w:szCs w:val="21"/>
        </w:rPr>
      </w:pPr>
      <w:r>
        <w:rPr>
          <w:rFonts w:hint="eastAsia" w:ascii="微软雅黑" w:hAnsi="微软雅黑" w:eastAsia="微软雅黑"/>
          <w:b/>
          <w:bCs/>
          <w:sz w:val="24"/>
          <w:szCs w:val="21"/>
        </w:rPr>
        <w:t>招聘联系信息</w:t>
      </w:r>
    </w:p>
    <w:p>
      <w:pPr>
        <w:spacing w:line="420" w:lineRule="auto"/>
        <w:contextualSpacing/>
        <w:rPr>
          <w:rFonts w:hint="eastAsia" w:ascii="微软雅黑" w:hAnsi="微软雅黑" w:eastAsia="微软雅黑"/>
          <w:bCs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公司官网：</w:t>
      </w:r>
      <w:r>
        <w:fldChar w:fldCharType="begin"/>
      </w:r>
      <w:r>
        <w:instrText xml:space="preserve"> HYPERLINK "http://www.baironginc.com/about/introduce" </w:instrText>
      </w:r>
      <w:r>
        <w:fldChar w:fldCharType="separate"/>
      </w:r>
      <w:r>
        <w:rPr>
          <w:rFonts w:ascii="微软雅黑" w:hAnsi="微软雅黑" w:eastAsia="微软雅黑"/>
          <w:bCs/>
          <w:sz w:val="20"/>
          <w:szCs w:val="20"/>
        </w:rPr>
        <w:t>http://www.baironginc.com/about/introduce</w:t>
      </w:r>
      <w:r>
        <w:rPr>
          <w:rFonts w:ascii="微软雅黑" w:hAnsi="微软雅黑" w:eastAsia="微软雅黑"/>
          <w:bCs/>
          <w:sz w:val="20"/>
          <w:szCs w:val="20"/>
        </w:rPr>
        <w:fldChar w:fldCharType="end"/>
      </w:r>
      <w:bookmarkStart w:id="0" w:name="_GoBack"/>
      <w:bookmarkEnd w:id="0"/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网申链接：</w:t>
      </w:r>
      <w:r>
        <w:fldChar w:fldCharType="begin"/>
      </w:r>
      <w:r>
        <w:instrText xml:space="preserve"> HYPERLINK "http://campus.51job.com/bryc2023" </w:instrText>
      </w:r>
      <w: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http://campus.51job.com/bryc2023</w:t>
      </w:r>
      <w:r>
        <w:rPr>
          <w:rStyle w:val="8"/>
          <w:rFonts w:hint="eastAsia"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招聘邮箱：</w:t>
      </w:r>
      <w:r>
        <w:rPr>
          <w:rFonts w:ascii="微软雅黑" w:hAnsi="微软雅黑" w:eastAsia="微软雅黑"/>
          <w:sz w:val="20"/>
          <w:szCs w:val="20"/>
        </w:rPr>
        <w:t>hr_recruitment@brgroup.com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招聘热线：</w:t>
      </w:r>
      <w:r>
        <w:rPr>
          <w:rFonts w:ascii="微软雅黑" w:hAnsi="微软雅黑" w:eastAsia="微软雅黑"/>
          <w:bCs/>
          <w:sz w:val="20"/>
          <w:szCs w:val="20"/>
        </w:rPr>
        <w:t xml:space="preserve">010-64707507  </w:t>
      </w:r>
    </w:p>
    <w:p>
      <w:pPr>
        <w:spacing w:line="420" w:lineRule="auto"/>
        <w:contextualSpacing/>
        <w:rPr>
          <w:rFonts w:ascii="微软雅黑" w:hAnsi="微软雅黑" w:eastAsia="微软雅黑"/>
          <w:bCs/>
          <w:sz w:val="20"/>
          <w:szCs w:val="20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公司地址：北京市朝阳区阜荣街</w:t>
      </w:r>
      <w:r>
        <w:rPr>
          <w:rFonts w:ascii="微软雅黑" w:hAnsi="微软雅黑" w:eastAsia="微软雅黑"/>
          <w:bCs/>
          <w:sz w:val="20"/>
          <w:szCs w:val="20"/>
        </w:rPr>
        <w:t>10号首开广场1层百融云创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A41F83"/>
    <w:multiLevelType w:val="singleLevel"/>
    <w:tmpl w:val="E8A41F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3312A7F"/>
    <w:multiLevelType w:val="multilevel"/>
    <w:tmpl w:val="03312A7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0OTk1MGU1MmE5YzAyMjMxMzBjYzVkMzc3YmQwZDEifQ=="/>
  </w:docVars>
  <w:rsids>
    <w:rsidRoot w:val="00FC0CCD"/>
    <w:rsid w:val="001D0405"/>
    <w:rsid w:val="002014E8"/>
    <w:rsid w:val="003378F8"/>
    <w:rsid w:val="004328A3"/>
    <w:rsid w:val="00443293"/>
    <w:rsid w:val="00492FEF"/>
    <w:rsid w:val="005E6B2A"/>
    <w:rsid w:val="00695B5E"/>
    <w:rsid w:val="006A2626"/>
    <w:rsid w:val="00760E16"/>
    <w:rsid w:val="008A7ECD"/>
    <w:rsid w:val="00934E8A"/>
    <w:rsid w:val="009A7F3D"/>
    <w:rsid w:val="009D46CD"/>
    <w:rsid w:val="009F45FD"/>
    <w:rsid w:val="00A00186"/>
    <w:rsid w:val="00AC3B0A"/>
    <w:rsid w:val="00B37350"/>
    <w:rsid w:val="00B50498"/>
    <w:rsid w:val="00CB7248"/>
    <w:rsid w:val="00E31580"/>
    <w:rsid w:val="00E77263"/>
    <w:rsid w:val="00FC0CCD"/>
    <w:rsid w:val="00FE44D9"/>
    <w:rsid w:val="2FEA291A"/>
    <w:rsid w:val="456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3</Pages>
  <Words>948</Words>
  <Characters>1125</Characters>
  <Lines>9</Lines>
  <Paragraphs>2</Paragraphs>
  <TotalTime>135</TotalTime>
  <ScaleCrop>false</ScaleCrop>
  <LinksUpToDate>false</LinksUpToDate>
  <CharactersWithSpaces>1134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2022-03-07T08:22:00Z</dcterms:created>
  <dc:creator>zhao.shuai/赵帅_京_销售</dc:creator>
  <cp:lastModifiedBy>赵映雪</cp:lastModifiedBy>
  <dcterms:modified xsi:type="dcterms:W3CDTF">2022-09-12T14:27:11Z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6999827599084032A0A15F26229DC804</vt:lpwstr>
  </property>
</Properties>
</file>