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482" w:firstLineChars="200"/>
        <w:jc w:val="center"/>
        <w:rPr>
          <w:rFonts w:hint="eastAsia" w:ascii="黑体" w:hAnsi="宋体" w:eastAsia="黑体"/>
          <w:b/>
          <w:sz w:val="24"/>
        </w:rPr>
      </w:pPr>
      <w:r>
        <w:rPr>
          <w:rFonts w:hint="eastAsia" w:ascii="黑体" w:hAnsi="宋体" w:eastAsia="黑体"/>
          <w:b/>
          <w:sz w:val="24"/>
        </w:rPr>
        <w:t>中国移动广西公司20</w:t>
      </w:r>
      <w:r>
        <w:rPr>
          <w:rFonts w:ascii="黑体" w:hAnsi="宋体" w:eastAsia="黑体"/>
          <w:b/>
          <w:sz w:val="24"/>
        </w:rPr>
        <w:t>2</w:t>
      </w:r>
      <w:r>
        <w:rPr>
          <w:rFonts w:hint="eastAsia" w:ascii="黑体" w:hAnsi="宋体" w:eastAsia="黑体"/>
          <w:b/>
          <w:sz w:val="24"/>
          <w:lang w:val="en-US" w:eastAsia="zh-CN"/>
        </w:rPr>
        <w:t>2春</w:t>
      </w:r>
      <w:r>
        <w:rPr>
          <w:rFonts w:hint="eastAsia" w:ascii="黑体" w:hAnsi="宋体" w:eastAsia="黑体"/>
          <w:b/>
          <w:sz w:val="24"/>
        </w:rPr>
        <w:t>季</w:t>
      </w:r>
      <w:r>
        <w:rPr>
          <w:rFonts w:hint="eastAsia" w:ascii="黑体" w:hAnsi="宋体" w:eastAsia="黑体"/>
          <w:b/>
          <w:sz w:val="24"/>
          <w:lang w:val="en-US" w:eastAsia="zh-CN"/>
        </w:rPr>
        <w:t>校园</w:t>
      </w:r>
      <w:r>
        <w:rPr>
          <w:rFonts w:hint="eastAsia" w:ascii="黑体" w:hAnsi="宋体" w:eastAsia="黑体"/>
          <w:b/>
          <w:sz w:val="24"/>
        </w:rPr>
        <w:t>招聘火热报名中！</w:t>
      </w:r>
    </w:p>
    <w:p>
      <w:pPr>
        <w:spacing w:line="360" w:lineRule="auto"/>
        <w:ind w:firstLine="482" w:firstLineChars="200"/>
        <w:rPr>
          <w:rFonts w:hint="eastAsia" w:ascii="仿宋_GB2312" w:hAnsi="宋体" w:eastAsia="仿宋_GB2312"/>
          <w:b/>
          <w:sz w:val="24"/>
        </w:rPr>
      </w:pPr>
      <w:r>
        <w:rPr>
          <w:rFonts w:hint="eastAsia" w:ascii="仿宋_GB2312" w:hAnsi="宋体" w:eastAsia="仿宋_GB2312"/>
          <w:b/>
          <w:sz w:val="24"/>
        </w:rPr>
        <w:t>一、公司简介</w:t>
      </w:r>
    </w:p>
    <w:p>
      <w:pPr>
        <w:spacing w:line="360" w:lineRule="auto"/>
        <w:ind w:firstLine="480" w:firstLineChars="200"/>
        <w:rPr>
          <w:rFonts w:hint="eastAsia" w:ascii="仿宋_GB2312" w:hAnsi="宋体" w:eastAsia="仿宋_GB2312"/>
          <w:bCs/>
          <w:sz w:val="24"/>
        </w:rPr>
      </w:pPr>
      <w:r>
        <w:rPr>
          <w:rFonts w:hint="eastAsia" w:ascii="仿宋_GB2312" w:hAnsi="宋体" w:eastAsia="仿宋_GB2312"/>
          <w:bCs/>
          <w:sz w:val="24"/>
        </w:rPr>
        <w:t>中国移动通信集团公司（简称"中国移动"）于2000年4月20日成立，注册资本518亿元人民币，资产规模超过万亿元人民币，拥有全球第一的网络和客户规模，连续</w:t>
      </w:r>
      <w:r>
        <w:rPr>
          <w:rFonts w:ascii="仿宋_GB2312" w:hAnsi="宋体" w:eastAsia="仿宋_GB2312"/>
          <w:bCs/>
          <w:sz w:val="24"/>
        </w:rPr>
        <w:t>19</w:t>
      </w:r>
      <w:r>
        <w:rPr>
          <w:rFonts w:hint="eastAsia" w:ascii="仿宋_GB2312" w:hAnsi="宋体" w:eastAsia="仿宋_GB2312"/>
          <w:bCs/>
          <w:sz w:val="24"/>
        </w:rPr>
        <w:t>年入选《财富》“世界500强”企业，202</w:t>
      </w:r>
      <w:r>
        <w:rPr>
          <w:rFonts w:ascii="仿宋_GB2312" w:hAnsi="宋体" w:eastAsia="仿宋_GB2312"/>
          <w:bCs/>
          <w:sz w:val="24"/>
        </w:rPr>
        <w:t>1</w:t>
      </w:r>
      <w:r>
        <w:rPr>
          <w:rFonts w:hint="eastAsia" w:ascii="仿宋_GB2312" w:hAnsi="宋体" w:eastAsia="仿宋_GB2312"/>
          <w:bCs/>
          <w:sz w:val="24"/>
        </w:rPr>
        <w:t>年排名</w:t>
      </w:r>
      <w:r>
        <w:rPr>
          <w:rFonts w:ascii="仿宋_GB2312" w:hAnsi="宋体" w:eastAsia="仿宋_GB2312"/>
          <w:bCs/>
          <w:sz w:val="24"/>
        </w:rPr>
        <w:t>56</w:t>
      </w:r>
      <w:r>
        <w:rPr>
          <w:rFonts w:hint="eastAsia" w:ascii="仿宋_GB2312" w:hAnsi="宋体" w:eastAsia="仿宋_GB2312"/>
          <w:bCs/>
          <w:sz w:val="24"/>
        </w:rPr>
        <w:t>位；连续</w:t>
      </w:r>
      <w:r>
        <w:rPr>
          <w:rFonts w:ascii="仿宋_GB2312" w:hAnsi="宋体" w:eastAsia="仿宋_GB2312"/>
          <w:bCs/>
          <w:sz w:val="24"/>
        </w:rPr>
        <w:t>16</w:t>
      </w:r>
      <w:r>
        <w:rPr>
          <w:rFonts w:hint="eastAsia" w:ascii="仿宋_GB2312" w:hAnsi="宋体" w:eastAsia="仿宋_GB2312"/>
          <w:bCs/>
          <w:sz w:val="24"/>
        </w:rPr>
        <w:t>年在国资委的考核中获A级。</w:t>
      </w:r>
    </w:p>
    <w:p>
      <w:pPr>
        <w:spacing w:line="360" w:lineRule="auto"/>
        <w:ind w:firstLine="480" w:firstLineChars="200"/>
        <w:rPr>
          <w:rFonts w:hint="eastAsia" w:ascii="仿宋_GB2312" w:hAnsi="宋体" w:eastAsia="仿宋_GB2312"/>
          <w:sz w:val="24"/>
        </w:rPr>
      </w:pPr>
      <w:r>
        <w:rPr>
          <w:rFonts w:hint="eastAsia" w:ascii="仿宋_GB2312" w:hAnsi="宋体" w:eastAsia="仿宋_GB2312"/>
          <w:bCs/>
          <w:sz w:val="24"/>
        </w:rPr>
        <w:t>中国移动通信集团广西有限公司（简称"中国移动广西公司"）是中国移动通信有限公司的全资子公司，在2020年位列广西企业100强第24名，广西服务业企业50强第11名，是广西客户信赖、行业领先的主导通信运营商和协助政府推进广西经济社会信息化发展的主力军。</w:t>
      </w:r>
    </w:p>
    <w:p>
      <w:pPr>
        <w:spacing w:line="360" w:lineRule="auto"/>
        <w:ind w:firstLine="482" w:firstLineChars="200"/>
        <w:rPr>
          <w:rFonts w:hint="eastAsia" w:ascii="仿宋_GB2312" w:hAnsi="宋体" w:eastAsia="仿宋_GB2312"/>
          <w:b/>
          <w:bCs/>
          <w:sz w:val="24"/>
        </w:rPr>
      </w:pPr>
      <w:r>
        <w:rPr>
          <w:rFonts w:hint="eastAsia" w:ascii="仿宋_GB2312" w:hAnsi="宋体" w:eastAsia="仿宋_GB2312"/>
          <w:b/>
          <w:bCs/>
          <w:sz w:val="24"/>
        </w:rPr>
        <w:t>二、招聘条件及招聘计划</w:t>
      </w:r>
    </w:p>
    <w:tbl>
      <w:tblPr>
        <w:tblStyle w:val="7"/>
        <w:tblW w:w="9188" w:type="dxa"/>
        <w:tblInd w:w="843" w:type="dxa"/>
        <w:tblLayout w:type="autofit"/>
        <w:tblCellMar>
          <w:top w:w="0" w:type="dxa"/>
          <w:left w:w="108" w:type="dxa"/>
          <w:bottom w:w="0" w:type="dxa"/>
          <w:right w:w="108" w:type="dxa"/>
        </w:tblCellMar>
      </w:tblPr>
      <w:tblGrid>
        <w:gridCol w:w="1227"/>
        <w:gridCol w:w="5842"/>
        <w:gridCol w:w="2119"/>
      </w:tblGrid>
      <w:tr>
        <w:tblPrEx>
          <w:tblCellMar>
            <w:top w:w="0" w:type="dxa"/>
            <w:left w:w="108" w:type="dxa"/>
            <w:bottom w:w="0" w:type="dxa"/>
            <w:right w:w="108" w:type="dxa"/>
          </w:tblCellMar>
        </w:tblPrEx>
        <w:trPr>
          <w:trHeight w:val="133" w:hRule="atLeast"/>
        </w:trPr>
        <w:tc>
          <w:tcPr>
            <w:tcW w:w="122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职位类别</w:t>
            </w:r>
          </w:p>
        </w:tc>
        <w:tc>
          <w:tcPr>
            <w:tcW w:w="58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专业要求</w:t>
            </w:r>
          </w:p>
        </w:tc>
        <w:tc>
          <w:tcPr>
            <w:tcW w:w="2119" w:type="dxa"/>
            <w:tcBorders>
              <w:top w:val="single" w:color="auto" w:sz="4" w:space="0"/>
              <w:left w:val="nil"/>
              <w:bottom w:val="single" w:color="auto" w:sz="4" w:space="0"/>
              <w:right w:val="single" w:color="auto" w:sz="4" w:space="0"/>
            </w:tcBorders>
            <w:noWrap w:val="0"/>
            <w:vAlign w:val="top"/>
          </w:tcPr>
          <w:p>
            <w:pPr>
              <w:widowControl/>
              <w:jc w:val="center"/>
              <w:rPr>
                <w:rFonts w:hint="eastAsia" w:ascii="仿宋_GB2312" w:hAnsi="宋体" w:eastAsia="仿宋_GB2312" w:cs="宋体"/>
                <w:b/>
                <w:bCs/>
                <w:color w:val="auto"/>
                <w:kern w:val="0"/>
                <w:szCs w:val="21"/>
              </w:rPr>
            </w:pPr>
            <w:r>
              <w:rPr>
                <w:rFonts w:hint="eastAsia" w:ascii="仿宋_GB2312" w:hAnsi="宋体" w:eastAsia="仿宋_GB2312" w:cs="宋体"/>
                <w:b/>
                <w:bCs/>
                <w:color w:val="auto"/>
                <w:kern w:val="0"/>
                <w:szCs w:val="21"/>
              </w:rPr>
              <w:t>备注</w:t>
            </w:r>
          </w:p>
        </w:tc>
      </w:tr>
      <w:tr>
        <w:tblPrEx>
          <w:tblCellMar>
            <w:top w:w="0" w:type="dxa"/>
            <w:left w:w="108" w:type="dxa"/>
            <w:bottom w:w="0" w:type="dxa"/>
            <w:right w:w="108" w:type="dxa"/>
          </w:tblCellMar>
        </w:tblPrEx>
        <w:trPr>
          <w:trHeight w:val="380" w:hRule="atLeast"/>
        </w:trPr>
        <w:tc>
          <w:tcPr>
            <w:tcW w:w="1227"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计算机类</w:t>
            </w:r>
          </w:p>
        </w:tc>
        <w:tc>
          <w:tcPr>
            <w:tcW w:w="5842" w:type="dxa"/>
            <w:tcBorders>
              <w:top w:val="nil"/>
              <w:left w:val="nil"/>
              <w:bottom w:val="single" w:color="auto" w:sz="4" w:space="0"/>
              <w:right w:val="single" w:color="auto" w:sz="4" w:space="0"/>
            </w:tcBorders>
            <w:noWrap w:val="0"/>
            <w:vAlign w:val="center"/>
          </w:tcPr>
          <w:p>
            <w:pPr>
              <w:widowControl/>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计算机科学技术、软件工程、网络工程、物联网、信息安全等相关专业</w:t>
            </w:r>
          </w:p>
        </w:tc>
        <w:tc>
          <w:tcPr>
            <w:tcW w:w="2119" w:type="dxa"/>
            <w:vMerge w:val="restart"/>
            <w:tcBorders>
              <w:top w:val="nil"/>
              <w:left w:val="nil"/>
              <w:right w:val="single" w:color="auto" w:sz="4" w:space="0"/>
            </w:tcBorders>
            <w:noWrap w:val="0"/>
            <w:vAlign w:val="center"/>
          </w:tcPr>
          <w:p>
            <w:pPr>
              <w:widowControl/>
              <w:jc w:val="left"/>
              <w:rPr>
                <w:rFonts w:hint="default"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rPr>
              <w:t>对于录用到百色、河池地区</w:t>
            </w:r>
            <w:r>
              <w:rPr>
                <w:rFonts w:hint="eastAsia" w:ascii="仿宋_GB2312" w:hAnsi="宋体" w:eastAsia="仿宋_GB2312" w:cs="宋体"/>
                <w:color w:val="auto"/>
                <w:kern w:val="0"/>
                <w:szCs w:val="21"/>
                <w:lang w:eastAsia="zh-CN"/>
              </w:rPr>
              <w:t>及</w:t>
            </w:r>
            <w:r>
              <w:rPr>
                <w:rFonts w:hint="eastAsia" w:ascii="仿宋_GB2312" w:hAnsi="宋体" w:eastAsia="仿宋_GB2312" w:cs="宋体"/>
                <w:color w:val="auto"/>
                <w:kern w:val="0"/>
                <w:szCs w:val="21"/>
                <w:lang w:val="en-US" w:eastAsia="zh-CN"/>
              </w:rPr>
              <w:t>天等、金秀</w:t>
            </w:r>
            <w:r>
              <w:rPr>
                <w:rFonts w:hint="eastAsia" w:ascii="仿宋_GB2312" w:hAnsi="宋体" w:eastAsia="仿宋_GB2312" w:cs="宋体"/>
                <w:color w:val="auto"/>
                <w:kern w:val="0"/>
                <w:szCs w:val="21"/>
              </w:rPr>
              <w:t>的毕业生，</w:t>
            </w:r>
            <w:r>
              <w:rPr>
                <w:rFonts w:hint="eastAsia" w:ascii="仿宋_GB2312" w:hAnsi="宋体" w:eastAsia="仿宋_GB2312" w:cs="宋体"/>
                <w:color w:val="auto"/>
                <w:kern w:val="0"/>
                <w:szCs w:val="21"/>
                <w:lang w:eastAsia="zh-CN"/>
              </w:rPr>
              <w:t>另</w:t>
            </w:r>
            <w:r>
              <w:rPr>
                <w:rFonts w:hint="eastAsia" w:ascii="仿宋_GB2312" w:hAnsi="宋体" w:eastAsia="仿宋_GB2312" w:cs="宋体"/>
                <w:color w:val="auto"/>
                <w:kern w:val="0"/>
                <w:szCs w:val="21"/>
              </w:rPr>
              <w:t>提供最高</w:t>
            </w:r>
            <w:r>
              <w:rPr>
                <w:rFonts w:hint="eastAsia" w:ascii="仿宋_GB2312" w:hAnsi="宋体" w:eastAsia="仿宋_GB2312" w:cs="宋体"/>
                <w:color w:val="auto"/>
                <w:kern w:val="0"/>
                <w:szCs w:val="21"/>
                <w:lang w:val="en-US" w:eastAsia="zh-CN"/>
              </w:rPr>
              <w:t>7.2万</w:t>
            </w:r>
            <w:r>
              <w:rPr>
                <w:rFonts w:hint="eastAsia" w:ascii="仿宋_GB2312" w:hAnsi="宋体" w:eastAsia="仿宋_GB2312" w:cs="宋体"/>
                <w:color w:val="auto"/>
                <w:kern w:val="0"/>
                <w:szCs w:val="21"/>
              </w:rPr>
              <w:t>元</w:t>
            </w:r>
            <w:r>
              <w:rPr>
                <w:rFonts w:hint="eastAsia" w:ascii="仿宋_GB2312" w:hAnsi="宋体" w:eastAsia="仿宋_GB2312" w:cs="宋体"/>
                <w:color w:val="auto"/>
                <w:kern w:val="0"/>
                <w:szCs w:val="21"/>
                <w:lang w:val="en-US" w:eastAsia="zh-CN"/>
              </w:rPr>
              <w:t>安家</w:t>
            </w:r>
            <w:r>
              <w:rPr>
                <w:rFonts w:hint="eastAsia" w:ascii="仿宋_GB2312" w:hAnsi="宋体" w:eastAsia="仿宋_GB2312" w:cs="宋体"/>
                <w:color w:val="auto"/>
                <w:kern w:val="0"/>
                <w:szCs w:val="21"/>
              </w:rPr>
              <w:t>补贴</w:t>
            </w:r>
            <w:r>
              <w:rPr>
                <w:rFonts w:hint="eastAsia" w:ascii="仿宋_GB2312" w:hAnsi="宋体" w:eastAsia="仿宋_GB2312" w:cs="宋体"/>
                <w:color w:val="auto"/>
                <w:kern w:val="0"/>
                <w:szCs w:val="21"/>
                <w:lang w:eastAsia="zh-CN"/>
              </w:rPr>
              <w:t>及</w:t>
            </w:r>
            <w:r>
              <w:rPr>
                <w:rFonts w:hint="eastAsia" w:ascii="仿宋_GB2312" w:hAnsi="宋体" w:eastAsia="仿宋_GB2312" w:cs="宋体"/>
                <w:color w:val="auto"/>
                <w:kern w:val="0"/>
                <w:szCs w:val="21"/>
                <w:lang w:val="en-US" w:eastAsia="zh-CN"/>
              </w:rPr>
              <w:t>3万元企业年金奖励。</w:t>
            </w:r>
          </w:p>
        </w:tc>
      </w:tr>
      <w:tr>
        <w:tblPrEx>
          <w:tblCellMar>
            <w:top w:w="0" w:type="dxa"/>
            <w:left w:w="108" w:type="dxa"/>
            <w:bottom w:w="0" w:type="dxa"/>
            <w:right w:w="108" w:type="dxa"/>
          </w:tblCellMar>
        </w:tblPrEx>
        <w:trPr>
          <w:trHeight w:val="380" w:hRule="atLeast"/>
        </w:trPr>
        <w:tc>
          <w:tcPr>
            <w:tcW w:w="1227"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通信类</w:t>
            </w:r>
          </w:p>
        </w:tc>
        <w:tc>
          <w:tcPr>
            <w:tcW w:w="5842" w:type="dxa"/>
            <w:tcBorders>
              <w:top w:val="nil"/>
              <w:left w:val="nil"/>
              <w:bottom w:val="single" w:color="auto" w:sz="4" w:space="0"/>
              <w:right w:val="single" w:color="auto" w:sz="4" w:space="0"/>
            </w:tcBorders>
            <w:noWrap w:val="0"/>
            <w:vAlign w:val="center"/>
          </w:tcPr>
          <w:p>
            <w:pPr>
              <w:widowControl/>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通信、无线、交换、传输、电子信息、物理等相关专业</w:t>
            </w:r>
          </w:p>
        </w:tc>
        <w:tc>
          <w:tcPr>
            <w:tcW w:w="2119" w:type="dxa"/>
            <w:vMerge w:val="continue"/>
            <w:tcBorders>
              <w:left w:val="nil"/>
              <w:right w:val="single" w:color="auto" w:sz="4" w:space="0"/>
            </w:tcBorders>
            <w:noWrap w:val="0"/>
            <w:vAlign w:val="top"/>
          </w:tcPr>
          <w:p>
            <w:pPr>
              <w:widowControl/>
              <w:jc w:val="left"/>
              <w:rPr>
                <w:rFonts w:hint="eastAsia" w:ascii="仿宋_GB2312" w:hAnsi="宋体" w:eastAsia="仿宋_GB2312" w:cs="宋体"/>
                <w:color w:val="000000"/>
                <w:kern w:val="0"/>
                <w:szCs w:val="21"/>
              </w:rPr>
            </w:pPr>
          </w:p>
        </w:tc>
      </w:tr>
      <w:tr>
        <w:tblPrEx>
          <w:tblCellMar>
            <w:top w:w="0" w:type="dxa"/>
            <w:left w:w="108" w:type="dxa"/>
            <w:bottom w:w="0" w:type="dxa"/>
            <w:right w:w="108" w:type="dxa"/>
          </w:tblCellMar>
        </w:tblPrEx>
        <w:trPr>
          <w:trHeight w:val="380" w:hRule="atLeast"/>
        </w:trPr>
        <w:tc>
          <w:tcPr>
            <w:tcW w:w="1227"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动力类</w:t>
            </w:r>
          </w:p>
        </w:tc>
        <w:tc>
          <w:tcPr>
            <w:tcW w:w="5842" w:type="dxa"/>
            <w:tcBorders>
              <w:top w:val="nil"/>
              <w:left w:val="nil"/>
              <w:bottom w:val="single" w:color="auto" w:sz="4" w:space="0"/>
              <w:right w:val="single" w:color="auto" w:sz="4" w:space="0"/>
            </w:tcBorders>
            <w:noWrap w:val="0"/>
            <w:vAlign w:val="center"/>
          </w:tcPr>
          <w:p>
            <w:pPr>
              <w:widowControl/>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电气工程、电气自动化、动力配套、动力学等相关专业</w:t>
            </w:r>
          </w:p>
        </w:tc>
        <w:tc>
          <w:tcPr>
            <w:tcW w:w="2119" w:type="dxa"/>
            <w:vMerge w:val="continue"/>
            <w:tcBorders>
              <w:left w:val="nil"/>
              <w:right w:val="single" w:color="auto" w:sz="4" w:space="0"/>
            </w:tcBorders>
            <w:noWrap w:val="0"/>
            <w:vAlign w:val="top"/>
          </w:tcPr>
          <w:p>
            <w:pPr>
              <w:widowControl/>
              <w:jc w:val="left"/>
              <w:rPr>
                <w:rFonts w:hint="eastAsia" w:ascii="仿宋_GB2312" w:hAnsi="宋体" w:eastAsia="仿宋_GB2312" w:cs="宋体"/>
                <w:color w:val="000000"/>
                <w:kern w:val="0"/>
                <w:szCs w:val="21"/>
              </w:rPr>
            </w:pPr>
          </w:p>
        </w:tc>
      </w:tr>
      <w:tr>
        <w:tblPrEx>
          <w:tblCellMar>
            <w:top w:w="0" w:type="dxa"/>
            <w:left w:w="108" w:type="dxa"/>
            <w:bottom w:w="0" w:type="dxa"/>
            <w:right w:w="108" w:type="dxa"/>
          </w:tblCellMar>
        </w:tblPrEx>
        <w:trPr>
          <w:trHeight w:val="380" w:hRule="atLeast"/>
        </w:trPr>
        <w:tc>
          <w:tcPr>
            <w:tcW w:w="1227"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数据类</w:t>
            </w:r>
          </w:p>
        </w:tc>
        <w:tc>
          <w:tcPr>
            <w:tcW w:w="5842" w:type="dxa"/>
            <w:tcBorders>
              <w:top w:val="nil"/>
              <w:left w:val="nil"/>
              <w:bottom w:val="single" w:color="auto" w:sz="4" w:space="0"/>
              <w:right w:val="single" w:color="auto" w:sz="4" w:space="0"/>
            </w:tcBorders>
            <w:noWrap w:val="0"/>
            <w:vAlign w:val="center"/>
          </w:tcPr>
          <w:p>
            <w:pPr>
              <w:widowControl/>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数学与应用数学、信息与计算科学、应用统计学等相关专业</w:t>
            </w:r>
          </w:p>
        </w:tc>
        <w:tc>
          <w:tcPr>
            <w:tcW w:w="2119" w:type="dxa"/>
            <w:vMerge w:val="continue"/>
            <w:tcBorders>
              <w:left w:val="nil"/>
              <w:right w:val="single" w:color="auto" w:sz="4" w:space="0"/>
            </w:tcBorders>
            <w:noWrap w:val="0"/>
            <w:vAlign w:val="top"/>
          </w:tcPr>
          <w:p>
            <w:pPr>
              <w:widowControl/>
              <w:jc w:val="left"/>
              <w:rPr>
                <w:rFonts w:hint="eastAsia" w:ascii="仿宋_GB2312" w:hAnsi="宋体" w:eastAsia="仿宋_GB2312" w:cs="宋体"/>
                <w:color w:val="000000"/>
                <w:kern w:val="0"/>
                <w:szCs w:val="21"/>
              </w:rPr>
            </w:pPr>
          </w:p>
        </w:tc>
      </w:tr>
      <w:tr>
        <w:tblPrEx>
          <w:tblCellMar>
            <w:top w:w="0" w:type="dxa"/>
            <w:left w:w="108" w:type="dxa"/>
            <w:bottom w:w="0" w:type="dxa"/>
            <w:right w:w="108" w:type="dxa"/>
          </w:tblCellMar>
        </w:tblPrEx>
        <w:trPr>
          <w:trHeight w:val="380" w:hRule="atLeast"/>
        </w:trPr>
        <w:tc>
          <w:tcPr>
            <w:tcW w:w="1227"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营销</w:t>
            </w:r>
            <w:r>
              <w:rPr>
                <w:rFonts w:ascii="仿宋_GB2312" w:hAnsi="宋体" w:eastAsia="仿宋_GB2312" w:cs="宋体"/>
                <w:color w:val="000000"/>
                <w:kern w:val="0"/>
                <w:szCs w:val="21"/>
              </w:rPr>
              <w:t>类</w:t>
            </w:r>
          </w:p>
        </w:tc>
        <w:tc>
          <w:tcPr>
            <w:tcW w:w="5842" w:type="dxa"/>
            <w:tcBorders>
              <w:top w:val="nil"/>
              <w:left w:val="nil"/>
              <w:bottom w:val="single" w:color="auto" w:sz="4" w:space="0"/>
              <w:right w:val="single" w:color="auto" w:sz="4" w:space="0"/>
            </w:tcBorders>
            <w:noWrap w:val="0"/>
            <w:vAlign w:val="center"/>
          </w:tcPr>
          <w:p>
            <w:pPr>
              <w:widowControl/>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市场营销、经济管理、工商管理、广告宣传/设计、心理学、传媒、电子商务等相关专业</w:t>
            </w:r>
          </w:p>
        </w:tc>
        <w:tc>
          <w:tcPr>
            <w:tcW w:w="2119" w:type="dxa"/>
            <w:vMerge w:val="continue"/>
            <w:tcBorders>
              <w:left w:val="nil"/>
              <w:right w:val="single" w:color="auto" w:sz="4" w:space="0"/>
            </w:tcBorders>
            <w:noWrap w:val="0"/>
            <w:vAlign w:val="top"/>
          </w:tcPr>
          <w:p>
            <w:pPr>
              <w:widowControl/>
              <w:jc w:val="left"/>
              <w:rPr>
                <w:rFonts w:hint="eastAsia" w:ascii="仿宋_GB2312" w:hAnsi="宋体" w:eastAsia="仿宋_GB2312" w:cs="宋体"/>
                <w:color w:val="000000"/>
                <w:kern w:val="0"/>
                <w:szCs w:val="21"/>
              </w:rPr>
            </w:pPr>
          </w:p>
        </w:tc>
      </w:tr>
      <w:tr>
        <w:tblPrEx>
          <w:tblCellMar>
            <w:top w:w="0" w:type="dxa"/>
            <w:left w:w="108" w:type="dxa"/>
            <w:bottom w:w="0" w:type="dxa"/>
            <w:right w:w="108" w:type="dxa"/>
          </w:tblCellMar>
        </w:tblPrEx>
        <w:trPr>
          <w:trHeight w:val="380" w:hRule="atLeast"/>
        </w:trPr>
        <w:tc>
          <w:tcPr>
            <w:tcW w:w="1227"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财务类</w:t>
            </w:r>
          </w:p>
        </w:tc>
        <w:tc>
          <w:tcPr>
            <w:tcW w:w="5842" w:type="dxa"/>
            <w:tcBorders>
              <w:top w:val="nil"/>
              <w:left w:val="nil"/>
              <w:bottom w:val="single" w:color="auto" w:sz="4" w:space="0"/>
              <w:right w:val="single" w:color="auto" w:sz="4" w:space="0"/>
            </w:tcBorders>
            <w:noWrap w:val="0"/>
            <w:vAlign w:val="center"/>
          </w:tcPr>
          <w:p>
            <w:pPr>
              <w:widowControl/>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审计、财务管理、财务分析、会计等相关专业</w:t>
            </w:r>
          </w:p>
        </w:tc>
        <w:tc>
          <w:tcPr>
            <w:tcW w:w="2119" w:type="dxa"/>
            <w:vMerge w:val="continue"/>
            <w:tcBorders>
              <w:left w:val="nil"/>
              <w:right w:val="single" w:color="auto" w:sz="4" w:space="0"/>
            </w:tcBorders>
            <w:noWrap w:val="0"/>
            <w:vAlign w:val="top"/>
          </w:tcPr>
          <w:p>
            <w:pPr>
              <w:widowControl/>
              <w:jc w:val="left"/>
              <w:rPr>
                <w:rFonts w:hint="eastAsia" w:ascii="仿宋_GB2312" w:hAnsi="宋体" w:eastAsia="仿宋_GB2312" w:cs="宋体"/>
                <w:color w:val="000000"/>
                <w:kern w:val="0"/>
                <w:szCs w:val="21"/>
              </w:rPr>
            </w:pPr>
          </w:p>
        </w:tc>
      </w:tr>
      <w:tr>
        <w:tblPrEx>
          <w:tblCellMar>
            <w:top w:w="0" w:type="dxa"/>
            <w:left w:w="108" w:type="dxa"/>
            <w:bottom w:w="0" w:type="dxa"/>
            <w:right w:w="108" w:type="dxa"/>
          </w:tblCellMar>
        </w:tblPrEx>
        <w:trPr>
          <w:trHeight w:val="380" w:hRule="atLeast"/>
        </w:trPr>
        <w:tc>
          <w:tcPr>
            <w:tcW w:w="1227"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法律类</w:t>
            </w:r>
          </w:p>
        </w:tc>
        <w:tc>
          <w:tcPr>
            <w:tcW w:w="5842" w:type="dxa"/>
            <w:tcBorders>
              <w:top w:val="nil"/>
              <w:left w:val="nil"/>
              <w:bottom w:val="single" w:color="auto" w:sz="4" w:space="0"/>
              <w:right w:val="single" w:color="auto" w:sz="4" w:space="0"/>
            </w:tcBorders>
            <w:noWrap w:val="0"/>
            <w:vAlign w:val="center"/>
          </w:tcPr>
          <w:p>
            <w:pPr>
              <w:widowControl/>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民商法、经济法、国际法、法学等相关专业</w:t>
            </w:r>
          </w:p>
        </w:tc>
        <w:tc>
          <w:tcPr>
            <w:tcW w:w="2119" w:type="dxa"/>
            <w:vMerge w:val="continue"/>
            <w:tcBorders>
              <w:left w:val="nil"/>
              <w:bottom w:val="single" w:color="auto" w:sz="4" w:space="0"/>
              <w:right w:val="single" w:color="auto" w:sz="4" w:space="0"/>
            </w:tcBorders>
            <w:noWrap w:val="0"/>
            <w:vAlign w:val="top"/>
          </w:tcPr>
          <w:p>
            <w:pPr>
              <w:widowControl/>
              <w:jc w:val="left"/>
              <w:rPr>
                <w:rFonts w:hint="eastAsia" w:ascii="仿宋_GB2312" w:hAnsi="宋体" w:eastAsia="仿宋_GB2312" w:cs="宋体"/>
                <w:color w:val="000000"/>
                <w:kern w:val="0"/>
                <w:szCs w:val="21"/>
              </w:rPr>
            </w:pPr>
          </w:p>
        </w:tc>
      </w:tr>
    </w:tbl>
    <w:p>
      <w:pPr>
        <w:spacing w:line="360" w:lineRule="auto"/>
        <w:ind w:firstLine="480" w:firstLineChars="200"/>
        <w:rPr>
          <w:rFonts w:hint="eastAsia" w:ascii="仿宋_GB2312" w:hAnsi="宋体" w:eastAsia="仿宋_GB2312"/>
          <w:bCs/>
          <w:sz w:val="24"/>
        </w:rPr>
      </w:pPr>
      <w:r>
        <w:rPr>
          <w:rFonts w:hint="eastAsia" w:ascii="仿宋_GB2312" w:hAnsi="宋体" w:eastAsia="仿宋_GB2312"/>
          <w:bCs/>
          <w:sz w:val="24"/>
        </w:rPr>
        <w:t>（一）学历：国家普通高考统招大学本科及以上学历应届毕业生，具有未</w:t>
      </w:r>
      <w:r>
        <w:rPr>
          <w:rFonts w:ascii="仿宋_GB2312" w:hAnsi="宋体" w:eastAsia="仿宋_GB2312"/>
          <w:bCs/>
          <w:sz w:val="24"/>
        </w:rPr>
        <w:t>签订的</w:t>
      </w:r>
      <w:r>
        <w:rPr>
          <w:rFonts w:hint="eastAsia" w:ascii="仿宋_GB2312" w:hAnsi="宋体" w:eastAsia="仿宋_GB2312"/>
          <w:bCs/>
          <w:sz w:val="24"/>
        </w:rPr>
        <w:t>三方就业</w:t>
      </w:r>
      <w:r>
        <w:rPr>
          <w:rFonts w:ascii="仿宋_GB2312" w:hAnsi="宋体" w:eastAsia="仿宋_GB2312"/>
          <w:bCs/>
          <w:sz w:val="24"/>
        </w:rPr>
        <w:t>协议</w:t>
      </w:r>
      <w:r>
        <w:rPr>
          <w:rFonts w:hint="eastAsia" w:ascii="仿宋_GB2312" w:hAnsi="宋体" w:eastAsia="仿宋_GB2312"/>
          <w:bCs/>
          <w:sz w:val="24"/>
        </w:rPr>
        <w:t>，毕业</w:t>
      </w:r>
      <w:r>
        <w:rPr>
          <w:rFonts w:ascii="仿宋_GB2312" w:hAnsi="宋体" w:eastAsia="仿宋_GB2312"/>
          <w:bCs/>
          <w:sz w:val="24"/>
        </w:rPr>
        <w:t>后</w:t>
      </w:r>
      <w:r>
        <w:rPr>
          <w:rFonts w:hint="eastAsia" w:ascii="仿宋_GB2312" w:hAnsi="宋体" w:eastAsia="仿宋_GB2312"/>
          <w:bCs/>
          <w:sz w:val="24"/>
        </w:rPr>
        <w:t>可提供相关学历和学位证书；国外院校毕业的应届毕业生（202</w:t>
      </w:r>
      <w:r>
        <w:rPr>
          <w:rFonts w:ascii="仿宋_GB2312" w:hAnsi="宋体" w:eastAsia="仿宋_GB2312"/>
          <w:bCs/>
          <w:sz w:val="24"/>
        </w:rPr>
        <w:t>1</w:t>
      </w:r>
      <w:r>
        <w:rPr>
          <w:rFonts w:hint="eastAsia" w:ascii="仿宋_GB2312" w:hAnsi="宋体" w:eastAsia="仿宋_GB2312"/>
          <w:bCs/>
          <w:sz w:val="24"/>
        </w:rPr>
        <w:t>年</w:t>
      </w:r>
      <w:r>
        <w:rPr>
          <w:rFonts w:ascii="仿宋_GB2312" w:hAnsi="宋体" w:eastAsia="仿宋_GB2312"/>
          <w:bCs/>
          <w:sz w:val="24"/>
        </w:rPr>
        <w:t>8</w:t>
      </w:r>
      <w:r>
        <w:rPr>
          <w:rFonts w:hint="eastAsia" w:ascii="仿宋_GB2312" w:hAnsi="宋体" w:eastAsia="仿宋_GB2312"/>
          <w:bCs/>
          <w:sz w:val="24"/>
        </w:rPr>
        <w:t>月及以后毕业）需取得国家教育部认可的同等学历，并提供教育部出具的学历证明。</w:t>
      </w:r>
    </w:p>
    <w:p>
      <w:pPr>
        <w:spacing w:line="360" w:lineRule="auto"/>
        <w:ind w:firstLine="480" w:firstLineChars="200"/>
        <w:rPr>
          <w:rFonts w:hint="eastAsia" w:ascii="仿宋_GB2312" w:hAnsi="宋体" w:eastAsia="仿宋_GB2312"/>
          <w:bCs/>
          <w:sz w:val="24"/>
        </w:rPr>
      </w:pPr>
      <w:r>
        <w:rPr>
          <w:rFonts w:hint="eastAsia" w:ascii="仿宋_GB2312" w:hAnsi="宋体" w:eastAsia="仿宋_GB2312"/>
          <w:bCs/>
          <w:sz w:val="24"/>
        </w:rPr>
        <w:t>（二）年龄要求：应届毕业本科生年龄原则上不超过25岁；研究生毕业的，年龄原则上不超过29岁（日期计算到202</w:t>
      </w:r>
      <w:r>
        <w:rPr>
          <w:rFonts w:ascii="仿宋_GB2312" w:hAnsi="宋体" w:eastAsia="仿宋_GB2312"/>
          <w:bCs/>
          <w:sz w:val="24"/>
        </w:rPr>
        <w:t>2</w:t>
      </w:r>
      <w:r>
        <w:rPr>
          <w:rFonts w:hint="eastAsia" w:ascii="仿宋_GB2312" w:hAnsi="宋体" w:eastAsia="仿宋_GB2312"/>
          <w:bCs/>
          <w:sz w:val="24"/>
        </w:rPr>
        <w:t>年7月3</w:t>
      </w:r>
      <w:r>
        <w:rPr>
          <w:rFonts w:ascii="仿宋_GB2312" w:hAnsi="宋体" w:eastAsia="仿宋_GB2312"/>
          <w:bCs/>
          <w:sz w:val="24"/>
        </w:rPr>
        <w:t>1</w:t>
      </w:r>
      <w:r>
        <w:rPr>
          <w:rFonts w:hint="eastAsia" w:ascii="仿宋_GB2312" w:hAnsi="宋体" w:eastAsia="仿宋_GB2312"/>
          <w:bCs/>
          <w:sz w:val="24"/>
        </w:rPr>
        <w:t>日）。</w:t>
      </w:r>
    </w:p>
    <w:p>
      <w:pPr>
        <w:spacing w:line="360" w:lineRule="auto"/>
        <w:ind w:firstLine="480" w:firstLineChars="200"/>
        <w:rPr>
          <w:rFonts w:hint="eastAsia" w:ascii="仿宋_GB2312" w:hAnsi="宋体" w:eastAsia="仿宋_GB2312"/>
          <w:bCs/>
          <w:sz w:val="24"/>
        </w:rPr>
      </w:pPr>
      <w:r>
        <w:rPr>
          <w:rFonts w:hint="eastAsia" w:ascii="仿宋_GB2312" w:hAnsi="宋体" w:eastAsia="仿宋_GB2312"/>
          <w:bCs/>
          <w:sz w:val="24"/>
        </w:rPr>
        <w:t>（三）英语等级：应聘</w:t>
      </w:r>
      <w:r>
        <w:rPr>
          <w:rFonts w:ascii="仿宋_GB2312" w:hAnsi="宋体" w:eastAsia="仿宋_GB2312"/>
          <w:bCs/>
          <w:sz w:val="24"/>
        </w:rPr>
        <w:t>市区需</w:t>
      </w:r>
      <w:r>
        <w:rPr>
          <w:rFonts w:hint="eastAsia" w:ascii="仿宋_GB2312" w:hAnsi="宋体" w:eastAsia="仿宋_GB2312"/>
          <w:bCs/>
          <w:sz w:val="24"/>
        </w:rPr>
        <w:t>取得国家英语四级及以上证书或国家英语四级考试成绩达到425分以上，</w:t>
      </w:r>
      <w:r>
        <w:rPr>
          <w:rFonts w:ascii="仿宋_GB2312" w:hAnsi="宋体" w:eastAsia="仿宋_GB2312"/>
          <w:bCs/>
          <w:sz w:val="24"/>
        </w:rPr>
        <w:t>应聘县公司不</w:t>
      </w:r>
      <w:r>
        <w:rPr>
          <w:rFonts w:hint="eastAsia" w:ascii="仿宋_GB2312" w:hAnsi="宋体" w:eastAsia="仿宋_GB2312"/>
          <w:bCs/>
          <w:sz w:val="24"/>
        </w:rPr>
        <w:t>作</w:t>
      </w:r>
      <w:r>
        <w:rPr>
          <w:rFonts w:ascii="仿宋_GB2312" w:hAnsi="宋体" w:eastAsia="仿宋_GB2312"/>
          <w:bCs/>
          <w:sz w:val="24"/>
        </w:rPr>
        <w:t>要求</w:t>
      </w:r>
      <w:r>
        <w:rPr>
          <w:rFonts w:hint="eastAsia" w:ascii="仿宋_GB2312" w:hAnsi="宋体" w:eastAsia="仿宋_GB2312"/>
          <w:bCs/>
          <w:sz w:val="24"/>
        </w:rPr>
        <w:t>。</w:t>
      </w:r>
    </w:p>
    <w:p>
      <w:pPr>
        <w:spacing w:line="360" w:lineRule="auto"/>
        <w:ind w:firstLine="480" w:firstLineChars="200"/>
        <w:rPr>
          <w:rFonts w:hint="eastAsia" w:ascii="仿宋_GB2312" w:hAnsi="宋体" w:eastAsia="仿宋_GB2312"/>
          <w:bCs/>
          <w:sz w:val="24"/>
        </w:rPr>
      </w:pPr>
      <w:r>
        <w:rPr>
          <w:rFonts w:hint="eastAsia" w:ascii="仿宋_GB2312" w:hAnsi="宋体" w:eastAsia="仿宋_GB2312"/>
          <w:bCs/>
          <w:sz w:val="24"/>
        </w:rPr>
        <w:t>（四）政治素质：遵守国家法律法规，具有良好的思想品质和道德素质，本人档案中无触犯法律法规</w:t>
      </w:r>
      <w:r>
        <w:rPr>
          <w:rFonts w:ascii="仿宋_GB2312" w:hAnsi="宋体" w:eastAsia="仿宋_GB2312"/>
          <w:bCs/>
          <w:sz w:val="24"/>
        </w:rPr>
        <w:t>、</w:t>
      </w:r>
      <w:r>
        <w:rPr>
          <w:rFonts w:hint="eastAsia" w:ascii="仿宋_GB2312" w:hAnsi="宋体" w:eastAsia="仿宋_GB2312"/>
          <w:bCs/>
          <w:sz w:val="24"/>
        </w:rPr>
        <w:t>校级</w:t>
      </w:r>
      <w:r>
        <w:rPr>
          <w:rFonts w:ascii="仿宋_GB2312" w:hAnsi="宋体" w:eastAsia="仿宋_GB2312"/>
          <w:bCs/>
          <w:sz w:val="24"/>
        </w:rPr>
        <w:t>处分等</w:t>
      </w:r>
      <w:r>
        <w:rPr>
          <w:rFonts w:hint="eastAsia" w:ascii="仿宋_GB2312" w:hAnsi="宋体" w:eastAsia="仿宋_GB2312"/>
          <w:bCs/>
          <w:sz w:val="24"/>
        </w:rPr>
        <w:t>不良记录。</w:t>
      </w:r>
    </w:p>
    <w:p>
      <w:pPr>
        <w:spacing w:line="360" w:lineRule="auto"/>
        <w:ind w:firstLine="480" w:firstLineChars="200"/>
        <w:rPr>
          <w:rFonts w:hint="eastAsia" w:ascii="仿宋_GB2312" w:hAnsi="宋体" w:eastAsia="仿宋_GB2312"/>
          <w:bCs/>
          <w:sz w:val="24"/>
        </w:rPr>
      </w:pPr>
      <w:r>
        <w:rPr>
          <w:rFonts w:hint="eastAsia" w:ascii="仿宋_GB2312" w:hAnsi="宋体" w:eastAsia="仿宋_GB2312"/>
          <w:bCs/>
          <w:sz w:val="24"/>
        </w:rPr>
        <w:t>（五）身体素质：身体健康，能适应所应聘岗位工作对体能的要求（参照公务员体检标准体检合格）。</w:t>
      </w:r>
    </w:p>
    <w:p>
      <w:pPr>
        <w:spacing w:line="360" w:lineRule="auto"/>
        <w:ind w:firstLine="482" w:firstLineChars="200"/>
        <w:rPr>
          <w:rFonts w:hint="eastAsia" w:ascii="仿宋_GB2312" w:hAnsi="宋体" w:eastAsia="仿宋_GB2312"/>
          <w:sz w:val="24"/>
          <w:highlight w:val="yellow"/>
        </w:rPr>
      </w:pPr>
      <w:r>
        <w:rPr>
          <w:rFonts w:hint="eastAsia" w:ascii="仿宋_GB2312" w:hAnsi="宋体" w:eastAsia="仿宋_GB2312"/>
          <w:b/>
          <w:bCs/>
          <w:sz w:val="24"/>
        </w:rPr>
        <w:t>三、</w:t>
      </w:r>
      <w:r>
        <w:rPr>
          <w:rFonts w:hint="eastAsia" w:ascii="仿宋_GB2312" w:hAnsi="宋体" w:eastAsia="仿宋_GB2312"/>
          <w:b/>
          <w:sz w:val="24"/>
        </w:rPr>
        <w:t>招聘流程</w:t>
      </w:r>
    </w:p>
    <w:p>
      <w:pPr>
        <w:spacing w:line="360" w:lineRule="auto"/>
        <w:ind w:firstLine="569" w:firstLineChars="177"/>
        <w:rPr>
          <w:rFonts w:ascii="仿宋_GB2312" w:hAnsi="宋体" w:eastAsia="仿宋_GB2312"/>
          <w:b/>
          <w:sz w:val="32"/>
        </w:rPr>
      </w:pPr>
      <w:r>
        <w:rPr>
          <w:rFonts w:hint="eastAsia" w:ascii="仿宋_GB2312" w:hAnsi="宋体" w:eastAsia="仿宋_GB2312"/>
          <w:b/>
          <w:sz w:val="32"/>
        </w:rPr>
        <w:t>网上报名——简历筛选——笔试笔试/能力测评——面试——体检——签约录用</w:t>
      </w:r>
    </w:p>
    <w:p>
      <w:pPr>
        <w:spacing w:line="360" w:lineRule="auto"/>
        <w:ind w:firstLine="424" w:firstLineChars="177"/>
        <w:rPr>
          <w:rFonts w:hint="eastAsia" w:ascii="仿宋_GB2312" w:hAnsi="宋体" w:eastAsia="仿宋_GB2312"/>
          <w:sz w:val="24"/>
        </w:rPr>
      </w:pPr>
      <w:r>
        <w:rPr>
          <w:rFonts w:hint="eastAsia" w:ascii="仿宋_GB2312" w:hAnsi="宋体" w:eastAsia="仿宋_GB2312" w:cs="Helvetica"/>
          <w:kern w:val="0"/>
          <w:sz w:val="24"/>
        </w:rPr>
        <w:t>（一）网上报名：</w:t>
      </w:r>
      <w:r>
        <w:rPr>
          <w:rFonts w:hint="eastAsia" w:ascii="仿宋_GB2312" w:hAnsi="宋体" w:eastAsia="仿宋_GB2312" w:cs="Helvetica"/>
          <w:sz w:val="24"/>
        </w:rPr>
        <w:t>请登陆</w:t>
      </w:r>
      <w:r>
        <w:rPr>
          <w:rFonts w:hint="eastAsia" w:ascii="仿宋_GB2312" w:hAnsi="宋体" w:eastAsia="仿宋_GB2312"/>
          <w:sz w:val="24"/>
        </w:rPr>
        <w:t>前程</w:t>
      </w:r>
      <w:r>
        <w:rPr>
          <w:rFonts w:ascii="仿宋_GB2312" w:hAnsi="宋体" w:eastAsia="仿宋_GB2312"/>
          <w:sz w:val="24"/>
        </w:rPr>
        <w:t>无忧</w:t>
      </w:r>
      <w:r>
        <w:rPr>
          <w:rFonts w:hint="eastAsia" w:ascii="仿宋_GB2312" w:hAnsi="宋体" w:eastAsia="仿宋_GB2312"/>
          <w:sz w:val="24"/>
        </w:rPr>
        <w:t>网站</w:t>
      </w:r>
      <w:r>
        <w:rPr>
          <w:rFonts w:hint="eastAsia" w:ascii="仿宋_GB2312" w:hAnsi="宋体" w:eastAsia="仿宋_GB2312" w:cs="Helvetica"/>
          <w:sz w:val="24"/>
        </w:rPr>
        <w:t>（</w:t>
      </w:r>
      <w:r>
        <w:rPr>
          <w:rFonts w:hint="eastAsia" w:ascii="仿宋_GB2312" w:hAnsi="宋体" w:eastAsia="仿宋_GB2312" w:cs="Times New Roman"/>
          <w:sz w:val="24"/>
        </w:rPr>
        <w:t>http://campus.51job.com/gxyd2022/about.html</w:t>
      </w:r>
      <w:r>
        <w:rPr>
          <w:rFonts w:hint="eastAsia" w:ascii="仿宋_GB2312" w:hAnsi="宋体" w:eastAsia="仿宋_GB2312" w:cs="Helvetica"/>
          <w:sz w:val="24"/>
        </w:rPr>
        <w:t>）或中国</w:t>
      </w:r>
      <w:r>
        <w:rPr>
          <w:rFonts w:ascii="仿宋_GB2312" w:hAnsi="宋体" w:eastAsia="仿宋_GB2312" w:cs="Helvetica"/>
          <w:sz w:val="24"/>
        </w:rPr>
        <w:t>移动招聘网站（</w:t>
      </w:r>
      <w:r>
        <w:rPr>
          <w:rFonts w:hint="eastAsia" w:ascii="仿宋_GB2312" w:hAnsi="宋体" w:eastAsia="仿宋_GB2312" w:cs="Helvetica"/>
          <w:sz w:val="24"/>
        </w:rPr>
        <w:t>j</w:t>
      </w:r>
      <w:r>
        <w:rPr>
          <w:rFonts w:ascii="仿宋_GB2312" w:hAnsi="宋体" w:eastAsia="仿宋_GB2312" w:cs="Helvetica"/>
          <w:sz w:val="24"/>
        </w:rPr>
        <w:t>ob.10086.cn）</w:t>
      </w:r>
      <w:r>
        <w:rPr>
          <w:rFonts w:hint="eastAsia" w:ascii="仿宋_GB2312" w:hAnsi="宋体" w:eastAsia="仿宋_GB2312" w:cs="Helvetica"/>
          <w:sz w:val="24"/>
        </w:rPr>
        <w:t>在线投递简历。在</w:t>
      </w:r>
      <w:r>
        <w:rPr>
          <w:rFonts w:ascii="仿宋_GB2312" w:hAnsi="宋体" w:eastAsia="仿宋_GB2312" w:cs="Helvetica"/>
          <w:sz w:val="24"/>
        </w:rPr>
        <w:t>以上</w:t>
      </w:r>
      <w:r>
        <w:rPr>
          <w:rFonts w:hint="eastAsia" w:ascii="仿宋_GB2312" w:hAnsi="宋体" w:eastAsia="仿宋_GB2312" w:cs="Helvetica"/>
          <w:sz w:val="24"/>
        </w:rPr>
        <w:t>两个</w:t>
      </w:r>
      <w:r>
        <w:rPr>
          <w:rFonts w:ascii="仿宋_GB2312" w:hAnsi="宋体" w:eastAsia="仿宋_GB2312" w:cs="Helvetica"/>
          <w:sz w:val="24"/>
        </w:rPr>
        <w:t>平台</w:t>
      </w:r>
      <w:r>
        <w:rPr>
          <w:rFonts w:hint="eastAsia" w:ascii="仿宋_GB2312" w:hAnsi="宋体" w:eastAsia="仿宋_GB2312" w:cs="Helvetica"/>
          <w:sz w:val="24"/>
        </w:rPr>
        <w:t>报名</w:t>
      </w:r>
      <w:r>
        <w:rPr>
          <w:rFonts w:ascii="仿宋_GB2312" w:hAnsi="宋体" w:eastAsia="仿宋_GB2312" w:cs="Helvetica"/>
          <w:sz w:val="24"/>
        </w:rPr>
        <w:t>均</w:t>
      </w:r>
      <w:r>
        <w:rPr>
          <w:rFonts w:hint="eastAsia" w:ascii="仿宋_GB2312" w:hAnsi="宋体" w:eastAsia="仿宋_GB2312" w:cs="Helvetica"/>
          <w:sz w:val="24"/>
        </w:rPr>
        <w:t>为</w:t>
      </w:r>
      <w:r>
        <w:rPr>
          <w:rFonts w:ascii="仿宋_GB2312" w:hAnsi="宋体" w:eastAsia="仿宋_GB2312" w:cs="Helvetica"/>
          <w:sz w:val="24"/>
        </w:rPr>
        <w:t>有效</w:t>
      </w:r>
      <w:r>
        <w:rPr>
          <w:rFonts w:hint="eastAsia" w:ascii="仿宋_GB2312" w:hAnsi="宋体" w:eastAsia="仿宋_GB2312" w:cs="Helvetica"/>
          <w:sz w:val="24"/>
        </w:rPr>
        <w:t>，采用其中一种报名方式即可，无需重复报名。</w:t>
      </w:r>
      <w:r>
        <w:rPr>
          <w:rFonts w:hint="eastAsia" w:ascii="仿宋_GB2312" w:hAnsi="宋体" w:eastAsia="仿宋_GB2312" w:cs="Helvetica"/>
          <w:sz w:val="24"/>
          <w:lang w:val="en-US" w:eastAsia="zh-CN"/>
        </w:rPr>
        <w:t>建议于2022年4月1日前完成简历投递</w:t>
      </w:r>
      <w:r>
        <w:rPr>
          <w:rFonts w:hint="eastAsia" w:ascii="仿宋_GB2312" w:hAnsi="宋体" w:eastAsia="仿宋_GB2312" w:cs="Helvetica"/>
          <w:sz w:val="24"/>
        </w:rPr>
        <w:t>。</w:t>
      </w:r>
    </w:p>
    <w:p>
      <w:pPr>
        <w:spacing w:line="360" w:lineRule="auto"/>
        <w:ind w:firstLine="424" w:firstLineChars="177"/>
        <w:rPr>
          <w:rFonts w:hint="eastAsia" w:ascii="仿宋_GB2312" w:hAnsi="宋体" w:eastAsia="仿宋_GB2312"/>
          <w:sz w:val="24"/>
        </w:rPr>
      </w:pPr>
      <w:r>
        <w:rPr>
          <w:rFonts w:hint="eastAsia" w:ascii="仿宋_GB2312" w:hAnsi="宋体" w:eastAsia="仿宋_GB2312" w:cs="Helvetica"/>
          <w:kern w:val="0"/>
          <w:sz w:val="24"/>
        </w:rPr>
        <w:t>（二）简历筛选：根据报名信息，</w:t>
      </w:r>
      <w:r>
        <w:rPr>
          <w:rFonts w:hint="eastAsia" w:ascii="仿宋_GB2312" w:hAnsi="宋体" w:eastAsia="仿宋_GB2312" w:cs="宋体"/>
          <w:kern w:val="0"/>
          <w:sz w:val="24"/>
        </w:rPr>
        <w:t>公司将从学校、学历、专业、成绩、获奖、CET英语成绩等维度进行简历评分，请您填报简历时务必如实详细填写。</w:t>
      </w:r>
    </w:p>
    <w:p>
      <w:pPr>
        <w:spacing w:line="360" w:lineRule="auto"/>
        <w:ind w:firstLine="424" w:firstLineChars="177"/>
        <w:rPr>
          <w:rFonts w:hint="eastAsia" w:ascii="仿宋_GB2312" w:hAnsi="宋体" w:eastAsia="仿宋_GB2312" w:cs="Helvetica"/>
          <w:kern w:val="0"/>
          <w:sz w:val="24"/>
        </w:rPr>
      </w:pPr>
      <w:r>
        <w:rPr>
          <w:rFonts w:hint="eastAsia" w:ascii="仿宋_GB2312" w:hAnsi="宋体" w:eastAsia="仿宋_GB2312" w:cs="Helvetica"/>
          <w:kern w:val="0"/>
          <w:sz w:val="24"/>
        </w:rPr>
        <w:t>（三）笔试/能力素质测评：参加中国移动通信集团统一在线笔试，笔试时间</w:t>
      </w:r>
      <w:r>
        <w:rPr>
          <w:rFonts w:hint="eastAsia" w:ascii="仿宋_GB2312" w:hAnsi="宋体" w:eastAsia="仿宋_GB2312" w:cs="Helvetica"/>
          <w:kern w:val="0"/>
          <w:sz w:val="24"/>
          <w:lang w:val="en-US" w:eastAsia="zh-CN"/>
        </w:rPr>
        <w:t>4月9日</w:t>
      </w:r>
      <w:r>
        <w:rPr>
          <w:rFonts w:hint="eastAsia" w:ascii="仿宋_GB2312" w:hAnsi="宋体" w:eastAsia="仿宋_GB2312" w:cs="Helvetica"/>
          <w:kern w:val="0"/>
          <w:sz w:val="24"/>
        </w:rPr>
        <w:t>。</w:t>
      </w:r>
    </w:p>
    <w:p>
      <w:pPr>
        <w:spacing w:line="360" w:lineRule="auto"/>
        <w:ind w:firstLine="424" w:firstLineChars="177"/>
        <w:rPr>
          <w:rFonts w:hint="eastAsia" w:ascii="仿宋_GB2312" w:hAnsi="宋体" w:eastAsia="仿宋_GB2312" w:cs="Helvetica"/>
          <w:kern w:val="0"/>
          <w:sz w:val="24"/>
        </w:rPr>
      </w:pPr>
      <w:r>
        <w:rPr>
          <w:rFonts w:hint="eastAsia" w:ascii="仿宋_GB2312" w:hAnsi="宋体" w:eastAsia="仿宋_GB2312" w:cs="Helvetica"/>
          <w:kern w:val="0"/>
          <w:sz w:val="24"/>
        </w:rPr>
        <w:t>（四）面试：</w:t>
      </w:r>
      <w:r>
        <w:rPr>
          <w:rFonts w:hint="eastAsia" w:ascii="仿宋_GB2312" w:hAnsi="宋体" w:eastAsia="仿宋_GB2312" w:cs="Helvetica"/>
          <w:kern w:val="0"/>
          <w:sz w:val="24"/>
          <w:lang w:val="en-US" w:eastAsia="zh-CN"/>
        </w:rPr>
        <w:t>于4</w:t>
      </w:r>
      <w:r>
        <w:rPr>
          <w:rFonts w:hint="eastAsia" w:ascii="仿宋_GB2312" w:hAnsi="宋体" w:eastAsia="仿宋_GB2312" w:cs="Helvetica"/>
          <w:kern w:val="0"/>
          <w:sz w:val="24"/>
        </w:rPr>
        <w:t>月</w:t>
      </w:r>
      <w:r>
        <w:rPr>
          <w:rFonts w:hint="eastAsia" w:ascii="仿宋_GB2312" w:hAnsi="宋体" w:eastAsia="仿宋_GB2312" w:cs="Helvetica"/>
          <w:kern w:val="0"/>
          <w:sz w:val="24"/>
          <w:lang w:val="en-US" w:eastAsia="zh-CN"/>
        </w:rPr>
        <w:t>中旬</w:t>
      </w:r>
      <w:r>
        <w:rPr>
          <w:rFonts w:hint="eastAsia" w:ascii="仿宋_GB2312" w:hAnsi="宋体" w:eastAsia="仿宋_GB2312" w:cs="Helvetica"/>
          <w:kern w:val="0"/>
          <w:sz w:val="24"/>
          <w:lang w:eastAsia="zh-CN"/>
        </w:rPr>
        <w:t>、</w:t>
      </w:r>
      <w:r>
        <w:rPr>
          <w:rFonts w:hint="eastAsia" w:ascii="仿宋_GB2312" w:hAnsi="宋体" w:eastAsia="仿宋_GB2312" w:cs="Helvetica"/>
          <w:kern w:val="0"/>
          <w:sz w:val="24"/>
          <w:lang w:val="en-US" w:eastAsia="zh-CN"/>
        </w:rPr>
        <w:t>6</w:t>
      </w:r>
      <w:r>
        <w:rPr>
          <w:rFonts w:hint="eastAsia" w:ascii="仿宋_GB2312" w:hAnsi="宋体" w:eastAsia="仿宋_GB2312" w:cs="Helvetica"/>
          <w:kern w:val="0"/>
          <w:sz w:val="24"/>
        </w:rPr>
        <w:t>月</w:t>
      </w:r>
      <w:r>
        <w:rPr>
          <w:rFonts w:hint="eastAsia" w:ascii="仿宋_GB2312" w:hAnsi="宋体" w:eastAsia="仿宋_GB2312" w:cs="Helvetica"/>
          <w:kern w:val="0"/>
          <w:sz w:val="24"/>
          <w:lang w:val="en-US" w:eastAsia="zh-CN"/>
        </w:rPr>
        <w:t>中旬，</w:t>
      </w:r>
      <w:r>
        <w:rPr>
          <w:rFonts w:hint="eastAsia" w:ascii="仿宋_GB2312" w:hAnsi="宋体" w:eastAsia="仿宋_GB2312" w:cs="Helvetica"/>
          <w:kern w:val="0"/>
          <w:sz w:val="24"/>
        </w:rPr>
        <w:t>通过远程面试等方式分批开展</w:t>
      </w:r>
      <w:r>
        <w:rPr>
          <w:rFonts w:hint="eastAsia" w:ascii="仿宋_GB2312" w:hAnsi="宋体" w:eastAsia="仿宋_GB2312" w:cs="Helvetica"/>
          <w:kern w:val="0"/>
          <w:sz w:val="24"/>
          <w:lang w:val="en-US" w:eastAsia="zh-CN"/>
        </w:rPr>
        <w:t>面试考评</w:t>
      </w:r>
      <w:bookmarkStart w:id="0" w:name="_GoBack"/>
      <w:bookmarkEnd w:id="0"/>
      <w:r>
        <w:rPr>
          <w:rFonts w:hint="eastAsia" w:ascii="仿宋_GB2312" w:hAnsi="宋体" w:eastAsia="仿宋_GB2312" w:cs="Helvetica"/>
          <w:kern w:val="0"/>
          <w:sz w:val="24"/>
        </w:rPr>
        <w:t>。</w:t>
      </w:r>
    </w:p>
    <w:p>
      <w:pPr>
        <w:spacing w:line="360" w:lineRule="auto"/>
        <w:ind w:firstLine="424" w:firstLineChars="177"/>
        <w:rPr>
          <w:rFonts w:hint="eastAsia" w:ascii="仿宋_GB2312" w:hAnsi="宋体" w:eastAsia="仿宋_GB2312" w:cs="Helvetica"/>
          <w:kern w:val="0"/>
          <w:sz w:val="24"/>
        </w:rPr>
      </w:pPr>
      <w:r>
        <w:rPr>
          <w:rFonts w:hint="eastAsia" w:ascii="仿宋_GB2312" w:hAnsi="宋体" w:eastAsia="仿宋_GB2312" w:cs="Helvetica"/>
          <w:kern w:val="0"/>
          <w:sz w:val="24"/>
        </w:rPr>
        <w:t>（五）体检：参照公务员体检标准组织体检，将在通过所有项目体检的人员中择优录用。</w:t>
      </w:r>
    </w:p>
    <w:p>
      <w:pPr>
        <w:spacing w:line="360" w:lineRule="auto"/>
        <w:ind w:firstLine="424" w:firstLineChars="177"/>
        <w:rPr>
          <w:rFonts w:hint="eastAsia"/>
        </w:rPr>
      </w:pPr>
      <w:r>
        <w:rPr>
          <w:rFonts w:hint="eastAsia" w:ascii="仿宋_GB2312" w:hAnsi="宋体" w:eastAsia="仿宋_GB2312" w:cs="Helvetica"/>
          <w:kern w:val="0"/>
          <w:sz w:val="24"/>
        </w:rPr>
        <w:t>（六）签约：通过电话或者见面沟通方式，沟通就业地点及签约情况，分批签订三方协议。</w:t>
      </w:r>
    </w:p>
    <w:p>
      <w:pPr>
        <w:adjustRightInd w:val="0"/>
        <w:spacing w:line="360" w:lineRule="auto"/>
        <w:ind w:firstLine="482" w:firstLineChars="200"/>
        <w:rPr>
          <w:rFonts w:hint="eastAsia" w:ascii="仿宋_GB2312" w:hAnsi="宋体" w:eastAsia="仿宋_GB2312"/>
          <w:b/>
          <w:sz w:val="24"/>
        </w:rPr>
      </w:pPr>
      <w:r>
        <w:rPr>
          <w:rFonts w:hint="eastAsia" w:ascii="仿宋_GB2312" w:hAnsi="宋体" w:eastAsia="仿宋_GB2312"/>
          <w:b/>
          <w:sz w:val="24"/>
        </w:rPr>
        <w:t>四、用工性质</w:t>
      </w:r>
    </w:p>
    <w:p>
      <w:pPr>
        <w:adjustRightInd w:val="0"/>
        <w:spacing w:line="360" w:lineRule="auto"/>
        <w:ind w:firstLine="424" w:firstLineChars="177"/>
        <w:rPr>
          <w:rFonts w:hint="eastAsia" w:ascii="仿宋_GB2312" w:hAnsi="宋体" w:eastAsia="仿宋_GB2312"/>
          <w:b/>
          <w:sz w:val="24"/>
        </w:rPr>
      </w:pPr>
      <w:r>
        <w:rPr>
          <w:rFonts w:hint="eastAsia" w:ascii="仿宋_GB2312" w:hAnsi="宋体" w:eastAsia="仿宋_GB2312"/>
          <w:sz w:val="24"/>
        </w:rPr>
        <w:t>人员一经聘用即为中国移动广西公司正式职工。</w:t>
      </w:r>
    </w:p>
    <w:p>
      <w:pPr>
        <w:adjustRightInd w:val="0"/>
        <w:spacing w:line="360" w:lineRule="auto"/>
        <w:ind w:firstLine="482" w:firstLineChars="200"/>
        <w:rPr>
          <w:rFonts w:hint="eastAsia" w:ascii="仿宋_GB2312" w:hAnsi="宋体" w:eastAsia="仿宋_GB2312"/>
          <w:b/>
          <w:bCs/>
          <w:sz w:val="24"/>
          <w:lang w:val="zh-CN"/>
        </w:rPr>
      </w:pPr>
      <w:r>
        <w:rPr>
          <w:rFonts w:hint="eastAsia" w:ascii="仿宋_GB2312" w:hAnsi="宋体" w:eastAsia="仿宋_GB2312"/>
          <w:b/>
          <w:sz w:val="24"/>
        </w:rPr>
        <w:t>五、薪酬待遇及发展空间</w:t>
      </w:r>
    </w:p>
    <w:p>
      <w:pPr>
        <w:adjustRightInd w:val="0"/>
        <w:spacing w:line="360" w:lineRule="auto"/>
        <w:ind w:firstLine="424" w:firstLineChars="177"/>
        <w:rPr>
          <w:rFonts w:hint="eastAsia" w:ascii="仿宋_GB2312" w:hAnsi="宋体" w:eastAsia="仿宋_GB2312"/>
          <w:sz w:val="24"/>
        </w:rPr>
      </w:pPr>
      <w:r>
        <w:rPr>
          <w:rFonts w:hint="eastAsia" w:ascii="仿宋_GB2312" w:hAnsi="宋体" w:eastAsia="仿宋_GB2312"/>
          <w:sz w:val="24"/>
        </w:rPr>
        <w:t>（一）公司提供具有行业竞争力的薪酬；</w:t>
      </w:r>
    </w:p>
    <w:p>
      <w:pPr>
        <w:adjustRightInd w:val="0"/>
        <w:spacing w:line="360" w:lineRule="auto"/>
        <w:ind w:firstLine="424" w:firstLineChars="177"/>
        <w:rPr>
          <w:rFonts w:hint="eastAsia" w:ascii="仿宋_GB2312" w:hAnsi="宋体" w:eastAsia="仿宋_GB2312"/>
          <w:sz w:val="24"/>
        </w:rPr>
      </w:pPr>
      <w:r>
        <w:rPr>
          <w:rFonts w:hint="eastAsia" w:ascii="仿宋_GB2312" w:hAnsi="宋体" w:eastAsia="仿宋_GB2312"/>
          <w:sz w:val="24"/>
        </w:rPr>
        <w:t>（二）工作满1年后每年可以享受</w:t>
      </w:r>
      <w:r>
        <w:rPr>
          <w:rFonts w:ascii="仿宋_GB2312" w:hAnsi="宋体" w:eastAsia="仿宋_GB2312"/>
          <w:b/>
          <w:sz w:val="24"/>
        </w:rPr>
        <w:t>15</w:t>
      </w:r>
      <w:r>
        <w:rPr>
          <w:rFonts w:hint="eastAsia" w:ascii="仿宋_GB2312" w:hAnsi="宋体" w:eastAsia="仿宋_GB2312"/>
          <w:b/>
          <w:sz w:val="24"/>
        </w:rPr>
        <w:t>天带薪年休假</w:t>
      </w:r>
      <w:r>
        <w:rPr>
          <w:rFonts w:hint="eastAsia" w:ascii="仿宋_GB2312" w:hAnsi="宋体" w:eastAsia="仿宋_GB2312"/>
          <w:sz w:val="24"/>
        </w:rPr>
        <w:t>；</w:t>
      </w:r>
    </w:p>
    <w:p>
      <w:pPr>
        <w:adjustRightInd w:val="0"/>
        <w:spacing w:line="360" w:lineRule="auto"/>
        <w:ind w:firstLine="424" w:firstLineChars="177"/>
        <w:rPr>
          <w:rFonts w:hint="eastAsia" w:ascii="仿宋_GB2312" w:hAnsi="宋体" w:eastAsia="仿宋_GB2312"/>
          <w:sz w:val="24"/>
        </w:rPr>
      </w:pPr>
      <w:r>
        <w:rPr>
          <w:rFonts w:hint="eastAsia" w:ascii="仿宋_GB2312" w:hAnsi="宋体" w:eastAsia="仿宋_GB2312"/>
          <w:sz w:val="24"/>
        </w:rPr>
        <w:t>（三）公司统一办理五险一金等各类社会统筹保险，并为员工办理企业年金、商业综合保险等；</w:t>
      </w:r>
    </w:p>
    <w:p>
      <w:pPr>
        <w:adjustRightInd w:val="0"/>
        <w:spacing w:line="360" w:lineRule="auto"/>
        <w:ind w:firstLine="424" w:firstLineChars="177"/>
        <w:rPr>
          <w:rFonts w:hint="eastAsia" w:ascii="仿宋_GB2312" w:hAnsi="宋体" w:eastAsia="仿宋_GB2312"/>
          <w:sz w:val="24"/>
        </w:rPr>
      </w:pPr>
      <w:r>
        <w:rPr>
          <w:rFonts w:hint="eastAsia" w:ascii="仿宋_GB2312" w:hAnsi="宋体" w:eastAsia="仿宋_GB2312"/>
          <w:sz w:val="24"/>
        </w:rPr>
        <w:t>（四）</w:t>
      </w:r>
      <w:r>
        <w:rPr>
          <w:rFonts w:ascii="仿宋_GB2312" w:hAnsi="宋体" w:eastAsia="仿宋_GB2312"/>
          <w:sz w:val="24"/>
        </w:rPr>
        <w:t xml:space="preserve">公司实行工作餐伙食补贴制度，保证员工工作餐伙食。 </w:t>
      </w:r>
    </w:p>
    <w:p>
      <w:pPr>
        <w:adjustRightInd w:val="0"/>
        <w:spacing w:line="360" w:lineRule="auto"/>
        <w:ind w:firstLine="424" w:firstLineChars="177"/>
        <w:rPr>
          <w:rFonts w:hint="eastAsia" w:ascii="仿宋_GB2312" w:hAnsi="宋体" w:eastAsia="仿宋_GB2312"/>
          <w:sz w:val="24"/>
        </w:rPr>
      </w:pPr>
      <w:r>
        <w:rPr>
          <w:rFonts w:hint="eastAsia" w:ascii="仿宋_GB2312" w:hAnsi="宋体" w:eastAsia="仿宋_GB2312"/>
          <w:sz w:val="24"/>
        </w:rPr>
        <w:t>（五）为异地员工提供至少1年的配套宿舍（免租金）。</w:t>
      </w:r>
    </w:p>
    <w:p>
      <w:pPr>
        <w:adjustRightInd w:val="0"/>
        <w:spacing w:line="360" w:lineRule="auto"/>
        <w:ind w:firstLine="424" w:firstLineChars="177"/>
        <w:rPr>
          <w:rFonts w:hint="eastAsia" w:ascii="仿宋_GB2312" w:hAnsi="宋体" w:eastAsia="仿宋_GB2312"/>
          <w:sz w:val="24"/>
        </w:rPr>
      </w:pPr>
      <w:r>
        <w:rPr>
          <w:rFonts w:hint="eastAsia" w:ascii="仿宋_GB2312" w:hAnsi="宋体" w:eastAsia="仿宋_GB2312"/>
          <w:sz w:val="24"/>
        </w:rPr>
        <w:t>（六）</w:t>
      </w:r>
      <w:r>
        <w:rPr>
          <w:rFonts w:ascii="仿宋_GB2312" w:hAnsi="宋体" w:eastAsia="仿宋_GB2312"/>
          <w:sz w:val="24"/>
        </w:rPr>
        <w:t>为公司员工每月提供</w:t>
      </w:r>
      <w:r>
        <w:rPr>
          <w:rFonts w:hint="eastAsia" w:ascii="仿宋_GB2312" w:hAnsi="宋体" w:eastAsia="仿宋_GB2312"/>
          <w:sz w:val="24"/>
        </w:rPr>
        <w:t>充足</w:t>
      </w:r>
      <w:r>
        <w:rPr>
          <w:rFonts w:ascii="仿宋_GB2312" w:hAnsi="宋体" w:eastAsia="仿宋_GB2312"/>
          <w:sz w:val="24"/>
        </w:rPr>
        <w:t>的公务通信费</w:t>
      </w:r>
      <w:r>
        <w:rPr>
          <w:rFonts w:hint="eastAsia" w:ascii="仿宋_GB2312" w:hAnsi="宋体" w:eastAsia="仿宋_GB2312"/>
          <w:sz w:val="24"/>
        </w:rPr>
        <w:t>、</w:t>
      </w:r>
      <w:r>
        <w:rPr>
          <w:rFonts w:ascii="仿宋_GB2312" w:hAnsi="宋体" w:eastAsia="仿宋_GB2312"/>
          <w:sz w:val="24"/>
        </w:rPr>
        <w:t>公务交通费额度</w:t>
      </w:r>
      <w:r>
        <w:rPr>
          <w:rFonts w:hint="eastAsia" w:ascii="仿宋_GB2312" w:hAnsi="宋体" w:eastAsia="仿宋_GB2312"/>
          <w:sz w:val="24"/>
        </w:rPr>
        <w:t>。</w:t>
      </w:r>
    </w:p>
    <w:p>
      <w:pPr>
        <w:adjustRightInd w:val="0"/>
        <w:spacing w:line="360" w:lineRule="auto"/>
        <w:ind w:firstLine="424" w:firstLineChars="177"/>
        <w:rPr>
          <w:rFonts w:hint="eastAsia" w:ascii="仿宋_GB2312" w:hAnsi="宋体" w:eastAsia="仿宋_GB2312"/>
          <w:sz w:val="24"/>
        </w:rPr>
      </w:pPr>
      <w:r>
        <w:rPr>
          <w:rFonts w:hint="eastAsia" w:ascii="仿宋_GB2312" w:hAnsi="宋体" w:eastAsia="仿宋_GB2312"/>
          <w:sz w:val="24"/>
        </w:rPr>
        <w:t>（七）享受国家法定节假日以及广西 “壮族三月三”等节假日安排。</w:t>
      </w:r>
    </w:p>
    <w:p>
      <w:pPr>
        <w:adjustRightInd w:val="0"/>
        <w:spacing w:line="360" w:lineRule="auto"/>
        <w:ind w:firstLine="424" w:firstLineChars="177"/>
        <w:rPr>
          <w:rFonts w:ascii="仿宋_GB2312" w:hAnsi="宋体" w:eastAsia="仿宋_GB2312"/>
          <w:sz w:val="24"/>
        </w:rPr>
      </w:pPr>
      <w:r>
        <w:rPr>
          <w:rFonts w:hint="eastAsia" w:ascii="仿宋_GB2312" w:hAnsi="宋体" w:eastAsia="仿宋_GB2312"/>
          <w:sz w:val="24"/>
        </w:rPr>
        <w:t>（八）组织员工参加</w:t>
      </w:r>
      <w:r>
        <w:rPr>
          <w:rFonts w:ascii="仿宋_GB2312" w:hAnsi="宋体" w:eastAsia="仿宋_GB2312"/>
          <w:sz w:val="24"/>
        </w:rPr>
        <w:t>丰富多彩的工会文体活动。</w:t>
      </w:r>
    </w:p>
    <w:p>
      <w:pPr>
        <w:adjustRightInd w:val="0"/>
        <w:snapToGrid w:val="0"/>
        <w:spacing w:line="360" w:lineRule="auto"/>
        <w:ind w:firstLine="482" w:firstLineChars="200"/>
        <w:rPr>
          <w:rFonts w:ascii="仿宋_GB2312" w:hAnsi="宋体" w:eastAsia="仿宋_GB2312"/>
          <w:b/>
          <w:sz w:val="24"/>
        </w:rPr>
      </w:pPr>
      <w:r>
        <w:rPr>
          <w:rFonts w:hint="eastAsia" w:ascii="仿宋_GB2312" w:hAnsi="宋体" w:eastAsia="仿宋_GB2312"/>
          <w:b/>
          <w:sz w:val="24"/>
        </w:rPr>
        <w:t>六、其他说明</w:t>
      </w:r>
    </w:p>
    <w:p>
      <w:pPr>
        <w:spacing w:line="360" w:lineRule="auto"/>
        <w:ind w:firstLine="424" w:firstLineChars="177"/>
        <w:rPr>
          <w:rFonts w:hint="eastAsia" w:ascii="仿宋_GB2312" w:hAnsi="宋体" w:eastAsia="仿宋_GB2312"/>
          <w:b/>
          <w:sz w:val="24"/>
        </w:rPr>
      </w:pPr>
      <w:r>
        <w:rPr>
          <w:rFonts w:hint="eastAsia" w:ascii="仿宋_GB2312" w:hAnsi="宋体" w:eastAsia="仿宋_GB2312" w:cs="宋体"/>
          <w:kern w:val="0"/>
          <w:sz w:val="24"/>
        </w:rPr>
        <w:t>（一）根据自己所学专业类别，</w:t>
      </w:r>
      <w:r>
        <w:rPr>
          <w:rFonts w:hint="eastAsia" w:ascii="仿宋_GB2312" w:hAnsi="宋体" w:eastAsia="仿宋_GB2312" w:cs="宋体"/>
          <w:b/>
          <w:kern w:val="0"/>
          <w:sz w:val="24"/>
        </w:rPr>
        <w:t>每人仅报名一个专业类别的职位</w:t>
      </w:r>
      <w:r>
        <w:rPr>
          <w:rFonts w:hint="eastAsia" w:ascii="仿宋_GB2312" w:hAnsi="宋体" w:eastAsia="仿宋_GB2312" w:cs="宋体"/>
          <w:kern w:val="0"/>
          <w:sz w:val="24"/>
        </w:rPr>
        <w:t>，如有多报，笔试、测评、面试考核将按第一专业类别开展。</w:t>
      </w:r>
    </w:p>
    <w:p>
      <w:pPr>
        <w:spacing w:line="360" w:lineRule="auto"/>
        <w:ind w:firstLine="424" w:firstLineChars="177"/>
        <w:rPr>
          <w:rFonts w:hint="eastAsia" w:ascii="仿宋_GB2312" w:hAnsi="宋体" w:eastAsia="仿宋_GB2312"/>
          <w:b/>
          <w:sz w:val="24"/>
        </w:rPr>
      </w:pPr>
      <w:r>
        <w:rPr>
          <w:rFonts w:hint="eastAsia" w:ascii="仿宋_GB2312" w:hAnsi="宋体" w:eastAsia="仿宋_GB2312" w:cs="宋体"/>
          <w:kern w:val="0"/>
          <w:sz w:val="24"/>
        </w:rPr>
        <w:t>（二）简历投递后，在本次招聘结束前不能修改或再次提交简历。</w:t>
      </w:r>
    </w:p>
    <w:p>
      <w:pPr>
        <w:spacing w:line="360" w:lineRule="auto"/>
        <w:ind w:firstLine="424" w:firstLineChars="177"/>
        <w:rPr>
          <w:rFonts w:hint="eastAsia" w:ascii="仿宋_GB2312" w:hAnsi="宋体" w:eastAsia="仿宋_GB2312"/>
          <w:sz w:val="24"/>
        </w:rPr>
      </w:pPr>
      <w:r>
        <w:rPr>
          <w:rFonts w:hint="eastAsia" w:ascii="仿宋_GB2312" w:hAnsi="宋体" w:eastAsia="仿宋_GB2312"/>
          <w:sz w:val="24"/>
        </w:rPr>
        <w:t>（三）报名者须对提交材料的真实性负责，凡弄虚作假者，一经查实，即取消应聘或聘用资格。我公司对报名者的应聘资料严格保密。</w:t>
      </w:r>
    </w:p>
    <w:p>
      <w:pPr>
        <w:adjustRightInd w:val="0"/>
        <w:spacing w:line="360" w:lineRule="auto"/>
        <w:ind w:firstLine="424" w:firstLineChars="177"/>
        <w:rPr>
          <w:rFonts w:hint="eastAsia" w:ascii="仿宋_GB2312" w:hAnsi="宋体" w:eastAsia="仿宋_GB2312"/>
          <w:sz w:val="24"/>
        </w:rPr>
      </w:pPr>
      <w:r>
        <w:rPr>
          <w:rFonts w:hint="eastAsia" w:ascii="仿宋_GB2312" w:hAnsi="宋体" w:eastAsia="仿宋_GB2312" w:cs="宋体"/>
          <w:kern w:val="0"/>
          <w:sz w:val="24"/>
        </w:rPr>
        <w:t>（四）请确保您的联系方式准确无误，以便我们可以及时与您取得联系。</w:t>
      </w:r>
    </w:p>
    <w:sectPr>
      <w:footerReference r:id="rId3" w:type="default"/>
      <w:footerReference r:id="rId4" w:type="even"/>
      <w:pgSz w:w="16838" w:h="11906" w:orient="landscape"/>
      <w:pgMar w:top="567" w:right="680" w:bottom="680" w:left="567" w:header="851" w:footer="992" w:gutter="567"/>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Helvetica">
    <w:altName w:val="Arial"/>
    <w:panose1 w:val="020B0604020202020204"/>
    <w:charset w:val="00"/>
    <w:family w:val="swiss"/>
    <w:pitch w:val="default"/>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1"/>
      </w:rPr>
    </w:pPr>
    <w:r>
      <w:rPr>
        <w:rStyle w:val="11"/>
      </w:rPr>
      <w:fldChar w:fldCharType="begin"/>
    </w:r>
    <w:r>
      <w:rPr>
        <w:rStyle w:val="11"/>
      </w:rPr>
      <w:instrText xml:space="preserve">PAGE  </w:instrText>
    </w:r>
    <w:r>
      <w:rPr>
        <w:rStyle w:val="11"/>
      </w:rPr>
      <w:fldChar w:fldCharType="separate"/>
    </w:r>
    <w:r>
      <w:rPr>
        <w:rStyle w:val="11"/>
        <w:lang/>
      </w:rPr>
      <w:t>2</w:t>
    </w:r>
    <w:r>
      <w:rPr>
        <w:rStyle w:val="11"/>
      </w:rP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36F4"/>
    <w:rsid w:val="00003B55"/>
    <w:rsid w:val="00006484"/>
    <w:rsid w:val="0001409D"/>
    <w:rsid w:val="00017EE9"/>
    <w:rsid w:val="00020E2F"/>
    <w:rsid w:val="00024DFA"/>
    <w:rsid w:val="00034905"/>
    <w:rsid w:val="00035E43"/>
    <w:rsid w:val="000402C0"/>
    <w:rsid w:val="00041B76"/>
    <w:rsid w:val="00047DFE"/>
    <w:rsid w:val="00051E21"/>
    <w:rsid w:val="00052467"/>
    <w:rsid w:val="00057F27"/>
    <w:rsid w:val="000628E7"/>
    <w:rsid w:val="00063B1C"/>
    <w:rsid w:val="000641A1"/>
    <w:rsid w:val="0007522A"/>
    <w:rsid w:val="00076834"/>
    <w:rsid w:val="00082BDE"/>
    <w:rsid w:val="00094CBD"/>
    <w:rsid w:val="000B0D24"/>
    <w:rsid w:val="000B1E6C"/>
    <w:rsid w:val="000B322D"/>
    <w:rsid w:val="000B4965"/>
    <w:rsid w:val="000C1162"/>
    <w:rsid w:val="000E54C0"/>
    <w:rsid w:val="000E6F5A"/>
    <w:rsid w:val="000F1CF8"/>
    <w:rsid w:val="000F3312"/>
    <w:rsid w:val="00112F3E"/>
    <w:rsid w:val="00113DC7"/>
    <w:rsid w:val="00117EBE"/>
    <w:rsid w:val="00117F54"/>
    <w:rsid w:val="00121D4A"/>
    <w:rsid w:val="00124AEB"/>
    <w:rsid w:val="001264BC"/>
    <w:rsid w:val="001270B7"/>
    <w:rsid w:val="001271A1"/>
    <w:rsid w:val="001345E0"/>
    <w:rsid w:val="001454A9"/>
    <w:rsid w:val="001534C5"/>
    <w:rsid w:val="0015604B"/>
    <w:rsid w:val="001626A4"/>
    <w:rsid w:val="00164D1B"/>
    <w:rsid w:val="001703FA"/>
    <w:rsid w:val="001815E1"/>
    <w:rsid w:val="00195EB4"/>
    <w:rsid w:val="001A0E8C"/>
    <w:rsid w:val="001A30C2"/>
    <w:rsid w:val="001A426F"/>
    <w:rsid w:val="001A612A"/>
    <w:rsid w:val="001B050F"/>
    <w:rsid w:val="001B3424"/>
    <w:rsid w:val="001B5248"/>
    <w:rsid w:val="001B6B82"/>
    <w:rsid w:val="001C0A94"/>
    <w:rsid w:val="001C1203"/>
    <w:rsid w:val="001C4614"/>
    <w:rsid w:val="001D28C7"/>
    <w:rsid w:val="001E2CAF"/>
    <w:rsid w:val="001F7A76"/>
    <w:rsid w:val="001F7AC0"/>
    <w:rsid w:val="002028E0"/>
    <w:rsid w:val="00204842"/>
    <w:rsid w:val="0021499F"/>
    <w:rsid w:val="0021506D"/>
    <w:rsid w:val="00217448"/>
    <w:rsid w:val="00217501"/>
    <w:rsid w:val="00227607"/>
    <w:rsid w:val="00241A18"/>
    <w:rsid w:val="00251BFA"/>
    <w:rsid w:val="002541C3"/>
    <w:rsid w:val="0025743D"/>
    <w:rsid w:val="00262636"/>
    <w:rsid w:val="0026390E"/>
    <w:rsid w:val="00265D35"/>
    <w:rsid w:val="00271D78"/>
    <w:rsid w:val="00283AF1"/>
    <w:rsid w:val="0028504E"/>
    <w:rsid w:val="002A2B0B"/>
    <w:rsid w:val="002A7A3A"/>
    <w:rsid w:val="002C211D"/>
    <w:rsid w:val="002C5BD9"/>
    <w:rsid w:val="002E3982"/>
    <w:rsid w:val="0031373F"/>
    <w:rsid w:val="00320E9F"/>
    <w:rsid w:val="00321FCD"/>
    <w:rsid w:val="003262C1"/>
    <w:rsid w:val="00330183"/>
    <w:rsid w:val="003316AC"/>
    <w:rsid w:val="00334F10"/>
    <w:rsid w:val="00337427"/>
    <w:rsid w:val="003404C4"/>
    <w:rsid w:val="00340835"/>
    <w:rsid w:val="00341E61"/>
    <w:rsid w:val="003426BF"/>
    <w:rsid w:val="00365585"/>
    <w:rsid w:val="00366EDE"/>
    <w:rsid w:val="00374315"/>
    <w:rsid w:val="0038471D"/>
    <w:rsid w:val="003A552E"/>
    <w:rsid w:val="003A75B4"/>
    <w:rsid w:val="003B29A4"/>
    <w:rsid w:val="003B2E7E"/>
    <w:rsid w:val="003B6ED3"/>
    <w:rsid w:val="003C0DDD"/>
    <w:rsid w:val="003D13B3"/>
    <w:rsid w:val="003D1F7F"/>
    <w:rsid w:val="003D3DE1"/>
    <w:rsid w:val="003D4BFF"/>
    <w:rsid w:val="003D7823"/>
    <w:rsid w:val="003F2C89"/>
    <w:rsid w:val="003F53E5"/>
    <w:rsid w:val="003F70D5"/>
    <w:rsid w:val="00400B7C"/>
    <w:rsid w:val="00410859"/>
    <w:rsid w:val="0041230F"/>
    <w:rsid w:val="00412E56"/>
    <w:rsid w:val="00416FDC"/>
    <w:rsid w:val="004210C6"/>
    <w:rsid w:val="004258A6"/>
    <w:rsid w:val="0043031A"/>
    <w:rsid w:val="00430BA6"/>
    <w:rsid w:val="004348F6"/>
    <w:rsid w:val="004479D7"/>
    <w:rsid w:val="00452C5C"/>
    <w:rsid w:val="00453108"/>
    <w:rsid w:val="004540D4"/>
    <w:rsid w:val="00460DF1"/>
    <w:rsid w:val="00471BF5"/>
    <w:rsid w:val="0048124E"/>
    <w:rsid w:val="00481ACA"/>
    <w:rsid w:val="00485679"/>
    <w:rsid w:val="0048583D"/>
    <w:rsid w:val="00486218"/>
    <w:rsid w:val="0049191E"/>
    <w:rsid w:val="00491AB0"/>
    <w:rsid w:val="00494AD8"/>
    <w:rsid w:val="004953DB"/>
    <w:rsid w:val="00495413"/>
    <w:rsid w:val="004A1FC1"/>
    <w:rsid w:val="004A4372"/>
    <w:rsid w:val="004A7C63"/>
    <w:rsid w:val="004B62A9"/>
    <w:rsid w:val="004C41C7"/>
    <w:rsid w:val="004C6804"/>
    <w:rsid w:val="004D1643"/>
    <w:rsid w:val="004D37ED"/>
    <w:rsid w:val="004D4A41"/>
    <w:rsid w:val="004E2D65"/>
    <w:rsid w:val="004E4B89"/>
    <w:rsid w:val="005113ED"/>
    <w:rsid w:val="00517E14"/>
    <w:rsid w:val="00520786"/>
    <w:rsid w:val="00526CF6"/>
    <w:rsid w:val="00530B6D"/>
    <w:rsid w:val="00531BB8"/>
    <w:rsid w:val="00531F0D"/>
    <w:rsid w:val="00533AF8"/>
    <w:rsid w:val="00541827"/>
    <w:rsid w:val="00543C01"/>
    <w:rsid w:val="00545FB6"/>
    <w:rsid w:val="00547AD5"/>
    <w:rsid w:val="0056468F"/>
    <w:rsid w:val="005667DB"/>
    <w:rsid w:val="00572368"/>
    <w:rsid w:val="005775B6"/>
    <w:rsid w:val="005B5503"/>
    <w:rsid w:val="005B7864"/>
    <w:rsid w:val="005C5EC6"/>
    <w:rsid w:val="005D1531"/>
    <w:rsid w:val="005E7A28"/>
    <w:rsid w:val="005F31FE"/>
    <w:rsid w:val="005F32E1"/>
    <w:rsid w:val="0060138B"/>
    <w:rsid w:val="00601468"/>
    <w:rsid w:val="00610B22"/>
    <w:rsid w:val="00616CAD"/>
    <w:rsid w:val="00640857"/>
    <w:rsid w:val="0064085A"/>
    <w:rsid w:val="00641C6C"/>
    <w:rsid w:val="00641ECC"/>
    <w:rsid w:val="00651287"/>
    <w:rsid w:val="00657460"/>
    <w:rsid w:val="00666CFA"/>
    <w:rsid w:val="00670CA5"/>
    <w:rsid w:val="00673DD7"/>
    <w:rsid w:val="006778C8"/>
    <w:rsid w:val="00685D8F"/>
    <w:rsid w:val="0069582E"/>
    <w:rsid w:val="006B21C2"/>
    <w:rsid w:val="006B4EE8"/>
    <w:rsid w:val="006B6AD6"/>
    <w:rsid w:val="006B7C9D"/>
    <w:rsid w:val="006C2655"/>
    <w:rsid w:val="006C3CEC"/>
    <w:rsid w:val="006C73B6"/>
    <w:rsid w:val="006C787B"/>
    <w:rsid w:val="006D2704"/>
    <w:rsid w:val="006D2AB4"/>
    <w:rsid w:val="006E10B9"/>
    <w:rsid w:val="006E5974"/>
    <w:rsid w:val="006F4D60"/>
    <w:rsid w:val="006F7714"/>
    <w:rsid w:val="007003C0"/>
    <w:rsid w:val="00715502"/>
    <w:rsid w:val="0072018E"/>
    <w:rsid w:val="00731C98"/>
    <w:rsid w:val="007415FC"/>
    <w:rsid w:val="007417D8"/>
    <w:rsid w:val="0074443E"/>
    <w:rsid w:val="007452E2"/>
    <w:rsid w:val="00745730"/>
    <w:rsid w:val="007466A8"/>
    <w:rsid w:val="00747D69"/>
    <w:rsid w:val="007511DC"/>
    <w:rsid w:val="00756B2D"/>
    <w:rsid w:val="007627E8"/>
    <w:rsid w:val="0076286F"/>
    <w:rsid w:val="00762BB3"/>
    <w:rsid w:val="0077479A"/>
    <w:rsid w:val="00776491"/>
    <w:rsid w:val="00776F64"/>
    <w:rsid w:val="00777915"/>
    <w:rsid w:val="00782800"/>
    <w:rsid w:val="00782871"/>
    <w:rsid w:val="0078372D"/>
    <w:rsid w:val="00787BCD"/>
    <w:rsid w:val="00796566"/>
    <w:rsid w:val="007A4CD2"/>
    <w:rsid w:val="007A6135"/>
    <w:rsid w:val="007A7A0D"/>
    <w:rsid w:val="007B058C"/>
    <w:rsid w:val="007B58A4"/>
    <w:rsid w:val="007B62B9"/>
    <w:rsid w:val="007C686B"/>
    <w:rsid w:val="007D0BE4"/>
    <w:rsid w:val="007D4350"/>
    <w:rsid w:val="007D6DDB"/>
    <w:rsid w:val="007E7422"/>
    <w:rsid w:val="008009A7"/>
    <w:rsid w:val="0081017C"/>
    <w:rsid w:val="00815F81"/>
    <w:rsid w:val="00817DB9"/>
    <w:rsid w:val="008337DB"/>
    <w:rsid w:val="008375B6"/>
    <w:rsid w:val="00840D98"/>
    <w:rsid w:val="0085399F"/>
    <w:rsid w:val="00865FFF"/>
    <w:rsid w:val="008661BC"/>
    <w:rsid w:val="00870A10"/>
    <w:rsid w:val="00872FA3"/>
    <w:rsid w:val="00886134"/>
    <w:rsid w:val="00891416"/>
    <w:rsid w:val="00897CF5"/>
    <w:rsid w:val="008A0027"/>
    <w:rsid w:val="008A0B90"/>
    <w:rsid w:val="008A20D9"/>
    <w:rsid w:val="008D078A"/>
    <w:rsid w:val="008D21C4"/>
    <w:rsid w:val="008D4392"/>
    <w:rsid w:val="008D45CB"/>
    <w:rsid w:val="008E2036"/>
    <w:rsid w:val="008E49A9"/>
    <w:rsid w:val="008E5FBA"/>
    <w:rsid w:val="008E6D89"/>
    <w:rsid w:val="008F68F9"/>
    <w:rsid w:val="008F76E1"/>
    <w:rsid w:val="00902390"/>
    <w:rsid w:val="009038FC"/>
    <w:rsid w:val="009131BD"/>
    <w:rsid w:val="00915FB5"/>
    <w:rsid w:val="00916AA4"/>
    <w:rsid w:val="00920B00"/>
    <w:rsid w:val="00925AF9"/>
    <w:rsid w:val="00927FBF"/>
    <w:rsid w:val="009309FE"/>
    <w:rsid w:val="009365BA"/>
    <w:rsid w:val="00945243"/>
    <w:rsid w:val="00951DCB"/>
    <w:rsid w:val="00954BE5"/>
    <w:rsid w:val="009668FF"/>
    <w:rsid w:val="00966BB0"/>
    <w:rsid w:val="009768BE"/>
    <w:rsid w:val="00985F29"/>
    <w:rsid w:val="00990D43"/>
    <w:rsid w:val="00995324"/>
    <w:rsid w:val="009A6679"/>
    <w:rsid w:val="009A6FCD"/>
    <w:rsid w:val="009B0EC2"/>
    <w:rsid w:val="009C13D8"/>
    <w:rsid w:val="009C6188"/>
    <w:rsid w:val="009D0537"/>
    <w:rsid w:val="009E05C6"/>
    <w:rsid w:val="009E4947"/>
    <w:rsid w:val="009E518E"/>
    <w:rsid w:val="009E7A42"/>
    <w:rsid w:val="009F57F8"/>
    <w:rsid w:val="009F5F4B"/>
    <w:rsid w:val="009F6E83"/>
    <w:rsid w:val="00A00012"/>
    <w:rsid w:val="00A011E8"/>
    <w:rsid w:val="00A071D7"/>
    <w:rsid w:val="00A0757E"/>
    <w:rsid w:val="00A12139"/>
    <w:rsid w:val="00A134AE"/>
    <w:rsid w:val="00A1410A"/>
    <w:rsid w:val="00A145E8"/>
    <w:rsid w:val="00A14A03"/>
    <w:rsid w:val="00A177ED"/>
    <w:rsid w:val="00A21D12"/>
    <w:rsid w:val="00A258B3"/>
    <w:rsid w:val="00A41A3B"/>
    <w:rsid w:val="00A42801"/>
    <w:rsid w:val="00A436C8"/>
    <w:rsid w:val="00A436F4"/>
    <w:rsid w:val="00A4598F"/>
    <w:rsid w:val="00A522BA"/>
    <w:rsid w:val="00A53A8E"/>
    <w:rsid w:val="00A56966"/>
    <w:rsid w:val="00A74A16"/>
    <w:rsid w:val="00A75DF4"/>
    <w:rsid w:val="00A80C1C"/>
    <w:rsid w:val="00A8193F"/>
    <w:rsid w:val="00A87B06"/>
    <w:rsid w:val="00A93888"/>
    <w:rsid w:val="00AB4144"/>
    <w:rsid w:val="00AB4DDC"/>
    <w:rsid w:val="00AB705D"/>
    <w:rsid w:val="00AB7FF6"/>
    <w:rsid w:val="00AC39E5"/>
    <w:rsid w:val="00AC5F37"/>
    <w:rsid w:val="00AD6FB6"/>
    <w:rsid w:val="00AE4CF7"/>
    <w:rsid w:val="00B12572"/>
    <w:rsid w:val="00B14F31"/>
    <w:rsid w:val="00B267E4"/>
    <w:rsid w:val="00B26F9D"/>
    <w:rsid w:val="00B32461"/>
    <w:rsid w:val="00B40A23"/>
    <w:rsid w:val="00B415B7"/>
    <w:rsid w:val="00B52D8C"/>
    <w:rsid w:val="00B607A0"/>
    <w:rsid w:val="00B61252"/>
    <w:rsid w:val="00B65F8E"/>
    <w:rsid w:val="00B74DA3"/>
    <w:rsid w:val="00B76779"/>
    <w:rsid w:val="00B82F4A"/>
    <w:rsid w:val="00B8424D"/>
    <w:rsid w:val="00B86DC2"/>
    <w:rsid w:val="00B90CCB"/>
    <w:rsid w:val="00B95214"/>
    <w:rsid w:val="00BA2C9B"/>
    <w:rsid w:val="00BA6FAC"/>
    <w:rsid w:val="00BB2893"/>
    <w:rsid w:val="00BB660D"/>
    <w:rsid w:val="00BC3866"/>
    <w:rsid w:val="00BC39EF"/>
    <w:rsid w:val="00BD0440"/>
    <w:rsid w:val="00BD1451"/>
    <w:rsid w:val="00C03827"/>
    <w:rsid w:val="00C14FDC"/>
    <w:rsid w:val="00C17B2C"/>
    <w:rsid w:val="00C228A1"/>
    <w:rsid w:val="00C37908"/>
    <w:rsid w:val="00C41512"/>
    <w:rsid w:val="00C43901"/>
    <w:rsid w:val="00C4430D"/>
    <w:rsid w:val="00C47121"/>
    <w:rsid w:val="00C53A28"/>
    <w:rsid w:val="00C5439A"/>
    <w:rsid w:val="00C644A0"/>
    <w:rsid w:val="00C70AC2"/>
    <w:rsid w:val="00C90CA1"/>
    <w:rsid w:val="00CA2CA2"/>
    <w:rsid w:val="00CA311A"/>
    <w:rsid w:val="00CA7DAB"/>
    <w:rsid w:val="00CC0A0C"/>
    <w:rsid w:val="00CC3F17"/>
    <w:rsid w:val="00CC753F"/>
    <w:rsid w:val="00CD2456"/>
    <w:rsid w:val="00CD748B"/>
    <w:rsid w:val="00D010FD"/>
    <w:rsid w:val="00D01BF5"/>
    <w:rsid w:val="00D07A70"/>
    <w:rsid w:val="00D23448"/>
    <w:rsid w:val="00D24768"/>
    <w:rsid w:val="00D2694C"/>
    <w:rsid w:val="00D303AF"/>
    <w:rsid w:val="00D303EE"/>
    <w:rsid w:val="00D47A18"/>
    <w:rsid w:val="00D52DA7"/>
    <w:rsid w:val="00D5496A"/>
    <w:rsid w:val="00D56996"/>
    <w:rsid w:val="00D7360E"/>
    <w:rsid w:val="00D800AF"/>
    <w:rsid w:val="00D841B5"/>
    <w:rsid w:val="00D976EE"/>
    <w:rsid w:val="00DA045F"/>
    <w:rsid w:val="00DA7D12"/>
    <w:rsid w:val="00DB4534"/>
    <w:rsid w:val="00DB6B0E"/>
    <w:rsid w:val="00DC2F5E"/>
    <w:rsid w:val="00DE3498"/>
    <w:rsid w:val="00E04505"/>
    <w:rsid w:val="00E0651B"/>
    <w:rsid w:val="00E17499"/>
    <w:rsid w:val="00E218AC"/>
    <w:rsid w:val="00E22DAD"/>
    <w:rsid w:val="00E333C4"/>
    <w:rsid w:val="00E33F60"/>
    <w:rsid w:val="00E42133"/>
    <w:rsid w:val="00E43543"/>
    <w:rsid w:val="00E441B3"/>
    <w:rsid w:val="00E47867"/>
    <w:rsid w:val="00E504C4"/>
    <w:rsid w:val="00E509A6"/>
    <w:rsid w:val="00E53272"/>
    <w:rsid w:val="00E54635"/>
    <w:rsid w:val="00E5611A"/>
    <w:rsid w:val="00E72ADD"/>
    <w:rsid w:val="00E73C4F"/>
    <w:rsid w:val="00E92046"/>
    <w:rsid w:val="00E9305C"/>
    <w:rsid w:val="00EA04EA"/>
    <w:rsid w:val="00EA3596"/>
    <w:rsid w:val="00ED0A1C"/>
    <w:rsid w:val="00EE00EA"/>
    <w:rsid w:val="00EE20EE"/>
    <w:rsid w:val="00EE7ABC"/>
    <w:rsid w:val="00EF46CC"/>
    <w:rsid w:val="00EF6A8D"/>
    <w:rsid w:val="00EF7804"/>
    <w:rsid w:val="00F00215"/>
    <w:rsid w:val="00F0716D"/>
    <w:rsid w:val="00F118EF"/>
    <w:rsid w:val="00F11CF6"/>
    <w:rsid w:val="00F26DF8"/>
    <w:rsid w:val="00F3007F"/>
    <w:rsid w:val="00F4183A"/>
    <w:rsid w:val="00F51D5A"/>
    <w:rsid w:val="00F56341"/>
    <w:rsid w:val="00F6027A"/>
    <w:rsid w:val="00F645AD"/>
    <w:rsid w:val="00F7395D"/>
    <w:rsid w:val="00F75ACE"/>
    <w:rsid w:val="00F77308"/>
    <w:rsid w:val="00F843CF"/>
    <w:rsid w:val="00F866FB"/>
    <w:rsid w:val="00F937B8"/>
    <w:rsid w:val="00F9648D"/>
    <w:rsid w:val="00F968C3"/>
    <w:rsid w:val="00FA5C90"/>
    <w:rsid w:val="00FA76E9"/>
    <w:rsid w:val="00FB23FF"/>
    <w:rsid w:val="00FB3D95"/>
    <w:rsid w:val="00FB58AD"/>
    <w:rsid w:val="00FC1463"/>
    <w:rsid w:val="00FC4AA1"/>
    <w:rsid w:val="00FC76D0"/>
    <w:rsid w:val="00FD263F"/>
    <w:rsid w:val="00FD469E"/>
    <w:rsid w:val="00FD5229"/>
    <w:rsid w:val="00FE0800"/>
    <w:rsid w:val="00FF3DF9"/>
    <w:rsid w:val="00FF402E"/>
    <w:rsid w:val="18FC4E72"/>
    <w:rsid w:val="23A744C5"/>
    <w:rsid w:val="43F87706"/>
    <w:rsid w:val="70B86F9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3"/>
    <w:basedOn w:val="1"/>
    <w:qFormat/>
    <w:uiPriority w:val="0"/>
    <w:pPr>
      <w:widowControl/>
      <w:spacing w:before="100" w:beforeAutospacing="1" w:after="100" w:afterAutospacing="1"/>
      <w:jc w:val="left"/>
      <w:outlineLvl w:val="2"/>
    </w:pPr>
    <w:rPr>
      <w:rFonts w:ascii="Arial Unicode MS" w:hAnsi="Arial Unicode MS" w:eastAsia="Arial Unicode MS" w:cs="Arial Unicode MS"/>
      <w:b/>
      <w:bCs/>
      <w:kern w:val="0"/>
      <w:sz w:val="27"/>
      <w:szCs w:val="27"/>
    </w:rPr>
  </w:style>
  <w:style w:type="character" w:default="1" w:styleId="9">
    <w:name w:val="Default Paragraph Font"/>
    <w:semiHidden/>
    <w:uiPriority w:val="0"/>
  </w:style>
  <w:style w:type="table" w:default="1" w:styleId="7">
    <w:name w:val="Normal Table"/>
    <w:semiHidden/>
    <w:uiPriority w:val="0"/>
    <w:tblPr>
      <w:tblStyle w:val="7"/>
      <w:tblCellMar>
        <w:top w:w="0" w:type="dxa"/>
        <w:left w:w="108" w:type="dxa"/>
        <w:bottom w:w="0" w:type="dxa"/>
        <w:right w:w="108" w:type="dxa"/>
      </w:tblCellMar>
    </w:tblPr>
  </w:style>
  <w:style w:type="paragraph" w:styleId="3">
    <w:name w:val="Balloon Text"/>
    <w:basedOn w:val="1"/>
    <w:link w:val="14"/>
    <w:uiPriority w:val="0"/>
    <w:rPr>
      <w:sz w:val="18"/>
      <w:szCs w:val="18"/>
    </w:r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link w:val="15"/>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iPriority w:val="0"/>
    <w:pPr>
      <w:widowControl/>
      <w:spacing w:before="100" w:beforeAutospacing="1" w:after="100" w:afterAutospacing="1"/>
      <w:jc w:val="left"/>
    </w:pPr>
    <w:rPr>
      <w:rFonts w:ascii="Arial Unicode MS" w:hAnsi="Arial Unicode MS" w:eastAsia="Arial Unicode MS" w:cs="Arial Unicode MS"/>
      <w:kern w:val="0"/>
      <w:sz w:val="24"/>
    </w:rPr>
  </w:style>
  <w:style w:type="table" w:styleId="8">
    <w:name w:val="Table Theme"/>
    <w:basedOn w:val="7"/>
    <w:uiPriority w:val="0"/>
    <w:pPr>
      <w:widowControl w:val="0"/>
      <w:jc w:val="both"/>
    </w:pPr>
    <w:tblPr>
      <w:tblStyle w:val="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qFormat/>
    <w:uiPriority w:val="22"/>
    <w:rPr>
      <w:b/>
      <w:bCs/>
    </w:rPr>
  </w:style>
  <w:style w:type="character" w:styleId="11">
    <w:name w:val="page number"/>
    <w:basedOn w:val="9"/>
    <w:uiPriority w:val="0"/>
  </w:style>
  <w:style w:type="character" w:styleId="12">
    <w:name w:val="FollowedHyperlink"/>
    <w:uiPriority w:val="0"/>
    <w:rPr>
      <w:color w:val="800080"/>
      <w:u w:val="single"/>
    </w:rPr>
  </w:style>
  <w:style w:type="character" w:styleId="13">
    <w:name w:val="Hyperlink"/>
    <w:uiPriority w:val="0"/>
    <w:rPr>
      <w:color w:val="0000FF"/>
      <w:u w:val="single"/>
    </w:rPr>
  </w:style>
  <w:style w:type="character" w:customStyle="1" w:styleId="14">
    <w:name w:val="批注框文本 Char"/>
    <w:link w:val="3"/>
    <w:uiPriority w:val="0"/>
    <w:rPr>
      <w:kern w:val="2"/>
      <w:sz w:val="18"/>
      <w:szCs w:val="18"/>
    </w:rPr>
  </w:style>
  <w:style w:type="character" w:customStyle="1" w:styleId="15">
    <w:name w:val="页眉 Char"/>
    <w:link w:val="5"/>
    <w:uiPriority w:val="0"/>
    <w:rPr>
      <w:kern w:val="2"/>
      <w:sz w:val="18"/>
      <w:szCs w:val="18"/>
    </w:rPr>
  </w:style>
  <w:style w:type="character" w:customStyle="1" w:styleId="16">
    <w:name w:val="f141"/>
    <w:uiPriority w:val="0"/>
    <w:rPr>
      <w:sz w:val="21"/>
      <w:szCs w:val="21"/>
    </w:rPr>
  </w:style>
  <w:style w:type="paragraph" w:customStyle="1" w:styleId="17">
    <w:name w:val="style2"/>
    <w:basedOn w:val="1"/>
    <w:uiPriority w:val="0"/>
    <w:pPr>
      <w:widowControl/>
      <w:spacing w:before="100" w:beforeAutospacing="1" w:after="100" w:afterAutospacing="1" w:line="360" w:lineRule="auto"/>
      <w:jc w:val="left"/>
    </w:pPr>
    <w:rPr>
      <w:rFonts w:ascii="Arial Unicode MS" w:hAnsi="Arial Unicode MS" w:eastAsia="Arial Unicode MS" w:cs="Arial Unicode MS"/>
      <w:color w:val="666666"/>
      <w:kern w:val="0"/>
      <w:sz w:val="18"/>
      <w:szCs w:val="18"/>
    </w:rPr>
  </w:style>
  <w:style w:type="character" w:customStyle="1" w:styleId="18">
    <w:name w:val="wet21"/>
    <w:uiPriority w:val="0"/>
    <w:rPr>
      <w:b/>
      <w:bCs/>
      <w:color w:val="FF9933"/>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gxyd</Company>
  <Pages>3</Pages>
  <Words>266</Words>
  <Characters>1517</Characters>
  <Lines>12</Lines>
  <Paragraphs>3</Paragraphs>
  <TotalTime>8</TotalTime>
  <ScaleCrop>false</ScaleCrop>
  <LinksUpToDate>false</LinksUpToDate>
  <CharactersWithSpaces>1780</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2020-12-29T05:24:00Z</dcterms:created>
  <dc:creator>陈波</dc:creator>
  <cp:lastModifiedBy>尿酸超人</cp:lastModifiedBy>
  <cp:lastPrinted>2015-09-15T03:41:00Z</cp:lastPrinted>
  <dcterms:modified xsi:type="dcterms:W3CDTF">2022-02-25T08:02:28Z</dcterms:modified>
  <dc:title>中国移动广西公司2009年校园招聘</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58EF60D2D7814A10A89270B23FE2550A</vt:lpwstr>
  </property>
</Properties>
</file>