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jc w:val="center"/>
        <w:rPr>
          <w:rFonts w:ascii="微软雅黑" w:hAnsi="微软雅黑" w:eastAsia="微软雅黑" w:cs="微软雅黑"/>
          <w:color w:val="4472C4" w:themeColor="accent5"/>
          <w:sz w:val="22"/>
          <w:szCs w:val="20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4472C4" w:themeColor="accent5"/>
          <w:sz w:val="32"/>
          <w:lang w:eastAsia="zh-TW"/>
          <w14:textFill>
            <w14:solidFill>
              <w14:schemeClr w14:val="accent5"/>
            </w14:solidFill>
          </w14:textFill>
        </w:rPr>
        <w:t>海尔集团</w:t>
      </w:r>
      <w:r>
        <w:rPr>
          <w:rFonts w:ascii="微软雅黑" w:hAnsi="微软雅黑" w:eastAsia="微软雅黑" w:cs="微软雅黑"/>
          <w:b/>
          <w:color w:val="4472C4" w:themeColor="accent5"/>
          <w:sz w:val="32"/>
          <w14:textFill>
            <w14:solidFill>
              <w14:schemeClr w14:val="accent5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/>
          <w:color w:val="4472C4" w:themeColor="accent5"/>
          <w:sz w:val="32"/>
          <w14:textFill>
            <w14:solidFill>
              <w14:schemeClr w14:val="accent5"/>
            </w14:solidFill>
          </w14:textFill>
        </w:rPr>
        <w:t>2未来合伙人（春季）招聘简章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  <w:t>一、集团简介</w:t>
      </w:r>
    </w:p>
    <w:p>
      <w:pPr>
        <w:pStyle w:val="5"/>
        <w:widowControl/>
        <w:spacing w:beforeAutospacing="0" w:afterAutospacing="0" w:line="540" w:lineRule="exact"/>
        <w:ind w:firstLine="400" w:firstLineChars="200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海尔集团创立于1984年，是一家全球领先的美好生活解决方案服务商。</w:t>
      </w:r>
    </w:p>
    <w:p>
      <w:pPr>
        <w:pStyle w:val="5"/>
        <w:widowControl/>
        <w:spacing w:beforeAutospacing="0" w:afterAutospacing="0" w:line="540" w:lineRule="exact"/>
        <w:ind w:firstLine="400" w:firstLineChars="200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海尔集团始终以用户体验为中心，踏准时代的节拍，历经名牌战略、多元化战略、国际化战略、全球化品牌战略、网络化战略和生态品牌战略等六个战略阶段，连续3年作为全球唯一物联网生态品牌蝉联BrandZ最具价值全球品牌榜，连续17年入选世界品牌实验室“世界品牌500强”。海尔深入全球160个国家和地区，服务全球10亿+用户家庭，拥有海尔智家、海尔生物医疗、盈康生命等3家上市公司，成功孵化了5家独角兽企业和37家瞪羚企业，在全球设立了10+N创新生态体系、28个工业园、122个制造中心、108个营销中心和24万个销售网络，拥有海尔Haier、卡萨帝Casarte、Leader、GE Appliances、Fisher &amp; Paykel、AQUA、Candy、卡奥斯COSMOPlat、三翼鸟、日日顺、盈康一生、海纳云、海创汇、海尔兄弟等众多生态品牌和新物种。</w:t>
      </w:r>
    </w:p>
    <w:p>
      <w:pPr>
        <w:pStyle w:val="5"/>
        <w:widowControl/>
        <w:spacing w:beforeAutospacing="0" w:afterAutospacing="0" w:line="540" w:lineRule="exact"/>
        <w:ind w:firstLine="400" w:firstLineChars="200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海尔连续12年稳居欧睿国际世界家电第一品牌，子公司海尔智家位列《财富》世界500强、《财富》全球最受赞赏公司和《福布斯》全球企业2000强；旗下的卡奥斯COSMOPlat工业互联网平台，连续2年在中国工信部跨行业跨领域工业互联网平台中排名榜首，位居Forrester工业互联网领导者第一象限，被ISO、IEEE、IEC三大国际标准组织指定牵头制定大规模定制模式的国际标准。</w:t>
      </w:r>
    </w:p>
    <w:p>
      <w:pPr>
        <w:pStyle w:val="5"/>
        <w:widowControl/>
        <w:spacing w:beforeAutospacing="0" w:afterAutospacing="0" w:line="540" w:lineRule="exact"/>
        <w:ind w:firstLine="400" w:firstLineChars="200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海尔致力于携手全球一流生态合作方，持续建设高端品牌、场景品牌与生态品牌，构建衣食住行康养医教等物联网生态圈，为全球用户定制个性化的智慧生活。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13131"/>
          <w:sz w:val="20"/>
          <w:szCs w:val="20"/>
        </w:rPr>
      </w:pP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  <w:t>二、招聘对象：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1）</w:t>
      </w:r>
      <w:r>
        <w:rPr>
          <w:rFonts w:ascii="微软雅黑" w:hAnsi="微软雅黑" w:eastAsia="微软雅黑" w:cs="微软雅黑"/>
          <w:color w:val="313131"/>
          <w:sz w:val="20"/>
          <w:szCs w:val="20"/>
        </w:rPr>
        <w:t>202</w:t>
      </w: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2</w:t>
      </w:r>
      <w:r>
        <w:rPr>
          <w:rFonts w:ascii="微软雅黑" w:hAnsi="微软雅黑" w:eastAsia="微软雅黑" w:cs="微软雅黑"/>
          <w:color w:val="313131"/>
          <w:sz w:val="20"/>
          <w:szCs w:val="20"/>
        </w:rPr>
        <w:t>届国内高校优秀毕业生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2）</w:t>
      </w:r>
      <w:r>
        <w:rPr>
          <w:rFonts w:ascii="微软雅黑" w:hAnsi="微软雅黑" w:eastAsia="微软雅黑" w:cs="微软雅黑"/>
          <w:color w:val="313131"/>
          <w:sz w:val="20"/>
          <w:szCs w:val="20"/>
        </w:rPr>
        <w:t>202</w:t>
      </w: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1</w:t>
      </w:r>
      <w:r>
        <w:rPr>
          <w:rFonts w:ascii="微软雅黑" w:hAnsi="微软雅黑" w:eastAsia="微软雅黑" w:cs="微软雅黑"/>
          <w:color w:val="313131"/>
          <w:sz w:val="20"/>
          <w:szCs w:val="20"/>
        </w:rPr>
        <w:t>年8月31日</w:t>
      </w: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至</w:t>
      </w:r>
      <w:r>
        <w:rPr>
          <w:rFonts w:ascii="微软雅黑" w:hAnsi="微软雅黑" w:eastAsia="微软雅黑" w:cs="微软雅黑"/>
          <w:color w:val="313131"/>
          <w:sz w:val="20"/>
          <w:szCs w:val="20"/>
        </w:rPr>
        <w:t>202</w:t>
      </w: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2</w:t>
      </w:r>
      <w:r>
        <w:rPr>
          <w:rFonts w:ascii="微软雅黑" w:hAnsi="微软雅黑" w:eastAsia="微软雅黑" w:cs="微软雅黑"/>
          <w:color w:val="313131"/>
          <w:sz w:val="20"/>
          <w:szCs w:val="20"/>
        </w:rPr>
        <w:t>年9月1日</w:t>
      </w: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期间于海外高校毕业的留学生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13131"/>
          <w:sz w:val="20"/>
          <w:szCs w:val="20"/>
        </w:rPr>
      </w:pP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  <w:t>三、招聘岗位&amp;专业：</w:t>
      </w:r>
    </w:p>
    <w:p>
      <w:pPr>
        <w:pStyle w:val="5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十余种职位大类：物联网研发类、计算机/</w:t>
      </w:r>
      <w:r>
        <w:rPr>
          <w:rFonts w:ascii="微软雅黑" w:hAnsi="微软雅黑" w:eastAsia="微软雅黑" w:cs="微软雅黑"/>
          <w:color w:val="313131"/>
          <w:sz w:val="20"/>
          <w:szCs w:val="20"/>
        </w:rPr>
        <w:t>IT</w:t>
      </w: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类、人工智能类、智能制造类、智慧物流类、市场营销类、工程技术类、金融投资类、新媒体传播类、职能类、教育类、综合类、设计类等</w:t>
      </w:r>
    </w:p>
    <w:p>
      <w:pPr>
        <w:pStyle w:val="5"/>
        <w:widowControl/>
        <w:spacing w:beforeAutospacing="0" w:afterAutospacing="0" w:line="460" w:lineRule="exact"/>
        <w:rPr>
          <w:rFonts w:ascii="微软雅黑" w:hAnsi="微软雅黑" w:eastAsia="微软雅黑" w:cs="微软雅黑"/>
          <w:color w:val="313131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4C6E7" w:themeFill="accent5" w:themeFillTint="66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b/>
                <w:color w:val="31313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313131"/>
                <w:sz w:val="20"/>
                <w:szCs w:val="20"/>
              </w:rPr>
              <w:t>职位大类</w:t>
            </w:r>
          </w:p>
        </w:tc>
        <w:tc>
          <w:tcPr>
            <w:tcW w:w="6854" w:type="dxa"/>
            <w:shd w:val="clear" w:color="auto" w:fill="B4C6E7" w:themeFill="accent5" w:themeFillTint="66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b/>
                <w:color w:val="31313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313131"/>
                <w:sz w:val="20"/>
                <w:szCs w:val="20"/>
              </w:rPr>
              <w:t>岗位需求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20"/>
                <w:szCs w:val="20"/>
              </w:rPr>
              <w:t>物联网研发类</w:t>
            </w:r>
          </w:p>
        </w:tc>
        <w:tc>
          <w:tcPr>
            <w:tcW w:w="6854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b/>
                <w:color w:val="313131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嵌入式开发工程师、研发工程师、嵌入式硬件研发工程师、企划经理、5G工程师、制冷暖通开发工程师、结构开发工程师、保鲜开发工程师、仿真开发工程师、噪音开发工程师、资深研发工程师-博士、超前研发工程师、解决方案工程师（医疗）、GEDP(全球工程师发展计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  <w:t>人工智能类</w:t>
            </w:r>
          </w:p>
        </w:tc>
        <w:tc>
          <w:tcPr>
            <w:tcW w:w="6854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通信技术工程师、测试工程师、物联网软件研发工程师、物联网产品项目经理、大数据开发、算法工程师、数据挖掘分析师、嵌入式软件开发工程师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20"/>
                <w:szCs w:val="20"/>
              </w:rPr>
              <w:t>计算机/</w:t>
            </w:r>
            <w:r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  <w:t>IT</w:t>
            </w:r>
            <w:r>
              <w:rPr>
                <w:rFonts w:hint="eastAsia" w:ascii="微软雅黑" w:hAnsi="微软雅黑" w:eastAsia="微软雅黑" w:cs="微软雅黑"/>
                <w:color w:val="313131"/>
                <w:sz w:val="20"/>
                <w:szCs w:val="20"/>
              </w:rPr>
              <w:t>类</w:t>
            </w:r>
          </w:p>
        </w:tc>
        <w:tc>
          <w:tcPr>
            <w:tcW w:w="6854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开发工程师、运维工程师、前端开发工程师、信息安全、后端开发设计师、UI设计师、IT信息工程师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20"/>
                <w:szCs w:val="20"/>
              </w:rPr>
              <w:t>智能制造类</w:t>
            </w:r>
          </w:p>
        </w:tc>
        <w:tc>
          <w:tcPr>
            <w:tcW w:w="6854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智能智造技术研发工程师、采购工程师、生产管理工程师、质量工程师、智能制造质量管理工程师、海外制造工程师（南亚/东南亚方向）、能源工程师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20"/>
                <w:szCs w:val="20"/>
              </w:rPr>
              <w:t>智慧物流类</w:t>
            </w:r>
          </w:p>
        </w:tc>
        <w:tc>
          <w:tcPr>
            <w:tcW w:w="6854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智慧物流售前规划工程师、智慧物流软件开发工程师、智慧物流大客户经理、电控自动化项目经理、仓储规划师、配送规划师、供应链方案设计师、智慧物流区域运营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20"/>
                <w:szCs w:val="20"/>
              </w:rPr>
              <w:t>市场营销类</w:t>
            </w:r>
          </w:p>
        </w:tc>
        <w:tc>
          <w:tcPr>
            <w:tcW w:w="6854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市场营销管理、电商运营、海外市场外交天团、智慧客服运营经理、市场服务管理、大客户销售管理、市场营销管理（医疗）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20"/>
                <w:szCs w:val="20"/>
              </w:rPr>
              <w:t>工程技术类</w:t>
            </w:r>
          </w:p>
        </w:tc>
        <w:tc>
          <w:tcPr>
            <w:tcW w:w="6854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20"/>
                <w:szCs w:val="20"/>
              </w:rPr>
              <w:t>金融投资类</w:t>
            </w:r>
          </w:p>
        </w:tc>
        <w:tc>
          <w:tcPr>
            <w:tcW w:w="6854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金融业务、风险经理、数据建模、保险支持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20"/>
                <w:szCs w:val="20"/>
              </w:rPr>
              <w:t>新媒体传播类</w:t>
            </w:r>
          </w:p>
        </w:tc>
        <w:tc>
          <w:tcPr>
            <w:tcW w:w="6854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品牌管理、新媒体运营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20"/>
                <w:szCs w:val="20"/>
              </w:rPr>
              <w:t>职能类</w:t>
            </w:r>
          </w:p>
        </w:tc>
        <w:tc>
          <w:tcPr>
            <w:tcW w:w="6854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人力资源管理、财务/审计、法务、战略管理、专利工程师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20"/>
                <w:szCs w:val="20"/>
              </w:rPr>
              <w:t>教育类</w:t>
            </w:r>
          </w:p>
        </w:tc>
        <w:tc>
          <w:tcPr>
            <w:tcW w:w="6854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  <w:t>体育老师</w:t>
            </w: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  <w:t>地理老师</w:t>
            </w: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  <w:t>历史老师</w:t>
            </w: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  <w:t>政治老师</w:t>
            </w: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  <w:t>物理老师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20"/>
                <w:szCs w:val="20"/>
              </w:rPr>
              <w:t>综合类</w:t>
            </w:r>
          </w:p>
        </w:tc>
        <w:tc>
          <w:tcPr>
            <w:tcW w:w="6854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18"/>
                <w:szCs w:val="20"/>
              </w:rPr>
              <w:t>售前工程师、解决方案工程师、研究员、管理咨询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13131"/>
                <w:sz w:val="20"/>
                <w:szCs w:val="20"/>
              </w:rPr>
              <w:t>设计类</w:t>
            </w:r>
          </w:p>
        </w:tc>
        <w:tc>
          <w:tcPr>
            <w:tcW w:w="6854" w:type="dxa"/>
          </w:tcPr>
          <w:p>
            <w:pPr>
              <w:pStyle w:val="5"/>
              <w:widowControl/>
              <w:spacing w:beforeAutospacing="0" w:afterAutospacing="0"/>
              <w:rPr>
                <w:rFonts w:ascii="微软雅黑" w:hAnsi="微软雅黑" w:eastAsia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313131"/>
                <w:sz w:val="18"/>
                <w:szCs w:val="20"/>
              </w:rPr>
              <w:t>产品设计</w:t>
            </w:r>
          </w:p>
        </w:tc>
      </w:tr>
    </w:tbl>
    <w:p>
      <w:pPr>
        <w:pStyle w:val="5"/>
        <w:widowControl/>
        <w:spacing w:beforeAutospacing="0" w:afterAutospacing="0" w:line="420" w:lineRule="exact"/>
        <w:rPr>
          <w:rFonts w:ascii="微软雅黑" w:hAnsi="微软雅黑" w:eastAsia="微软雅黑" w:cs="微软雅黑"/>
          <w:color w:val="313131"/>
          <w:sz w:val="20"/>
          <w:szCs w:val="20"/>
        </w:rPr>
      </w:pPr>
    </w:p>
    <w:p>
      <w:pPr>
        <w:pStyle w:val="5"/>
        <w:widowControl/>
        <w:spacing w:beforeAutospacing="0" w:afterAutospacing="0" w:line="420" w:lineRule="exact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专业需求涵盖：计算机类、软件类、通信类、统计类、大数据类、电子信息类、自动化类、电子电器类、控制类、制冷暖通类、能源动力类、食品工程类、仪器仪表类、生物学类、药学类、机械类、材料类、设计类、市场类、经济类、物流类、供应链管理类、外语类、电子商务类、金融财会类、工商管理类、人力资源类、法学类、土木工程类、新闻传媒类、行政学类等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  <w:t>四、招聘流程：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简历投递→线上测评→面试筛选→o</w:t>
      </w:r>
      <w:r>
        <w:rPr>
          <w:rFonts w:ascii="微软雅黑" w:hAnsi="微软雅黑" w:eastAsia="微软雅黑" w:cs="微软雅黑"/>
          <w:color w:val="313131"/>
          <w:sz w:val="20"/>
          <w:szCs w:val="20"/>
        </w:rPr>
        <w:t>ffer</w:t>
      </w: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发放</w:t>
      </w:r>
    </w:p>
    <w:p>
      <w:pPr>
        <w:pStyle w:val="5"/>
        <w:widowControl/>
        <w:spacing w:beforeAutospacing="0" w:afterAutospacing="0"/>
        <w:rPr>
          <w:rFonts w:ascii="华文楷体" w:hAnsi="华文楷体" w:eastAsia="华文楷体" w:cs="微软雅黑"/>
          <w:color w:val="313131"/>
          <w:sz w:val="20"/>
          <w:szCs w:val="20"/>
        </w:rPr>
      </w:pPr>
      <w:r>
        <w:rPr>
          <w:rFonts w:hint="eastAsia" w:ascii="华文楷体" w:hAnsi="华文楷体" w:eastAsia="华文楷体" w:cs="微软雅黑"/>
          <w:color w:val="313131"/>
          <w:sz w:val="20"/>
          <w:szCs w:val="20"/>
        </w:rPr>
        <w:t>*进入测评阶段后，其他流程会在1-2周内推进完成；根据投递职位不同的1-</w:t>
      </w:r>
      <w:r>
        <w:rPr>
          <w:rFonts w:ascii="华文楷体" w:hAnsi="华文楷体" w:eastAsia="华文楷体" w:cs="微软雅黑"/>
          <w:color w:val="313131"/>
          <w:sz w:val="20"/>
          <w:szCs w:val="20"/>
        </w:rPr>
        <w:t>2</w:t>
      </w:r>
      <w:r>
        <w:rPr>
          <w:rFonts w:hint="eastAsia" w:ascii="华文楷体" w:hAnsi="华文楷体" w:eastAsia="华文楷体" w:cs="微软雅黑"/>
          <w:color w:val="313131"/>
          <w:sz w:val="20"/>
          <w:szCs w:val="20"/>
        </w:rPr>
        <w:t>轮面试，以线上视频面试为主</w:t>
      </w:r>
    </w:p>
    <w:p>
      <w:pPr>
        <w:pStyle w:val="5"/>
        <w:widowControl/>
        <w:spacing w:beforeAutospacing="0" w:afterAutospacing="0"/>
        <w:rPr>
          <w:rFonts w:ascii="华文楷体" w:hAnsi="华文楷体" w:eastAsia="华文楷体" w:cs="微软雅黑"/>
          <w:color w:val="313131"/>
          <w:sz w:val="20"/>
          <w:szCs w:val="20"/>
        </w:rPr>
      </w:pP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  <w:t>五、工作地点：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青岛、上海、北京、深圳、成都、重庆、武汉、沈阳、佛山等全国多城市，详见职位投递页面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13131"/>
          <w:sz w:val="20"/>
          <w:szCs w:val="20"/>
        </w:rPr>
      </w:pP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  <w:t>六、网申时间：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ascii="微软雅黑" w:hAnsi="微软雅黑" w:eastAsia="微软雅黑" w:cs="微软雅黑"/>
          <w:color w:val="313131"/>
          <w:sz w:val="20"/>
          <w:szCs w:val="20"/>
        </w:rPr>
        <w:t>即日起至202</w:t>
      </w: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2年4</w:t>
      </w:r>
      <w:r>
        <w:rPr>
          <w:rFonts w:ascii="微软雅黑" w:hAnsi="微软雅黑" w:eastAsia="微软雅黑" w:cs="微软雅黑"/>
          <w:color w:val="313131"/>
          <w:sz w:val="20"/>
          <w:szCs w:val="20"/>
        </w:rPr>
        <w:t>月30日</w:t>
      </w:r>
      <w:bookmarkStart w:id="0" w:name="_GoBack"/>
      <w:bookmarkEnd w:id="0"/>
    </w:p>
    <w:p>
      <w:pPr>
        <w:pStyle w:val="5"/>
        <w:widowControl/>
        <w:spacing w:beforeAutospacing="0" w:afterAutospacing="0"/>
        <w:rPr>
          <w:rFonts w:ascii="华文楷体" w:hAnsi="华文楷体" w:eastAsia="华文楷体" w:cs="微软雅黑"/>
          <w:color w:val="313131"/>
          <w:sz w:val="20"/>
          <w:szCs w:val="20"/>
        </w:rPr>
      </w:pPr>
      <w:r>
        <w:rPr>
          <w:rFonts w:hint="eastAsia" w:ascii="华文楷体" w:hAnsi="华文楷体" w:eastAsia="华文楷体" w:cs="微软雅黑"/>
          <w:color w:val="313131"/>
          <w:sz w:val="20"/>
          <w:szCs w:val="20"/>
        </w:rPr>
        <w:t>*</w:t>
      </w:r>
      <w:r>
        <w:rPr>
          <w:rFonts w:ascii="华文楷体" w:hAnsi="华文楷体" w:eastAsia="华文楷体" w:cs="微软雅黑"/>
          <w:color w:val="313131"/>
          <w:sz w:val="20"/>
          <w:szCs w:val="20"/>
        </w:rPr>
        <w:t>具体网申截止时间以根据实际情况为准</w:t>
      </w:r>
      <w:r>
        <w:rPr>
          <w:rFonts w:hint="eastAsia" w:ascii="华文楷体" w:hAnsi="华文楷体" w:eastAsia="华文楷体" w:cs="微软雅黑"/>
          <w:color w:val="313131"/>
          <w:sz w:val="20"/>
          <w:szCs w:val="20"/>
        </w:rPr>
        <w:t>，</w:t>
      </w:r>
      <w:r>
        <w:rPr>
          <w:rFonts w:ascii="华文楷体" w:hAnsi="华文楷体" w:eastAsia="华文楷体" w:cs="微软雅黑"/>
          <w:color w:val="313131"/>
          <w:sz w:val="20"/>
          <w:szCs w:val="20"/>
        </w:rPr>
        <w:t>并通过</w:t>
      </w:r>
      <w:r>
        <w:rPr>
          <w:rFonts w:hint="eastAsia" w:ascii="华文楷体" w:hAnsi="华文楷体" w:eastAsia="华文楷体" w:cs="微软雅黑"/>
          <w:color w:val="313131"/>
          <w:sz w:val="20"/>
          <w:szCs w:val="20"/>
        </w:rPr>
        <w:t>“</w:t>
      </w:r>
      <w:r>
        <w:rPr>
          <w:rFonts w:ascii="华文楷体" w:hAnsi="华文楷体" w:eastAsia="华文楷体" w:cs="微软雅黑"/>
          <w:color w:val="313131"/>
          <w:sz w:val="20"/>
          <w:szCs w:val="20"/>
        </w:rPr>
        <w:t>海尔招聘</w:t>
      </w:r>
      <w:r>
        <w:rPr>
          <w:rFonts w:hint="eastAsia" w:ascii="华文楷体" w:hAnsi="华文楷体" w:eastAsia="华文楷体" w:cs="微软雅黑"/>
          <w:color w:val="313131"/>
          <w:sz w:val="20"/>
          <w:szCs w:val="20"/>
        </w:rPr>
        <w:t>”</w:t>
      </w:r>
      <w:r>
        <w:rPr>
          <w:rFonts w:ascii="华文楷体" w:hAnsi="华文楷体" w:eastAsia="华文楷体" w:cs="微软雅黑"/>
          <w:color w:val="313131"/>
          <w:sz w:val="20"/>
          <w:szCs w:val="20"/>
        </w:rPr>
        <w:t>公众号通知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13131"/>
          <w:sz w:val="20"/>
          <w:szCs w:val="20"/>
        </w:rPr>
      </w:pP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0"/>
          <w:u w:val="single"/>
          <w14:textFill>
            <w14:solidFill>
              <w14:schemeClr w14:val="accent5"/>
            </w14:solidFill>
          </w14:textFill>
        </w:rPr>
        <w:t>七、网申通道：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P</w:t>
      </w:r>
      <w:r>
        <w:rPr>
          <w:rFonts w:ascii="微软雅黑" w:hAnsi="微软雅黑" w:eastAsia="微软雅黑" w:cs="微软雅黑"/>
          <w:color w:val="313131"/>
          <w:sz w:val="20"/>
          <w:szCs w:val="20"/>
        </w:rPr>
        <w:t>C</w:t>
      </w: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端通道：网页搜索“海尔创吧”，选择“校园入口”，登陆后选择心仪岗位投简历。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ascii="微软雅黑" w:hAnsi="微软雅黑" w:eastAsia="微软雅黑" w:cs="微软雅黑"/>
          <w:color w:val="313131"/>
          <w:sz w:val="20"/>
          <w:szCs w:val="20"/>
        </w:rPr>
        <w:t>地址</w:t>
      </w:r>
      <w:r>
        <w:rPr>
          <w:rFonts w:hint="eastAsia"/>
        </w:rPr>
        <w:t>：</w:t>
      </w:r>
      <w:r>
        <w:fldChar w:fldCharType="begin"/>
      </w:r>
      <w:r>
        <w:instrText xml:space="preserve"> HYPERLINK "http://maker.haier.net/client/campus/activityindex.html" </w:instrText>
      </w:r>
      <w:r>
        <w:fldChar w:fldCharType="separate"/>
      </w:r>
      <w:r>
        <w:rPr>
          <w:rStyle w:val="10"/>
        </w:rPr>
        <w:t>http://maker.haier.net/client/campus/activityindex.html</w:t>
      </w:r>
      <w:r>
        <w:rPr>
          <w:rStyle w:val="10"/>
        </w:rPr>
        <w:fldChar w:fldCharType="end"/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移动端通道：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关注【海尔招聘】微信公众号，选择菜单【热招职位】，选择【2</w:t>
      </w:r>
      <w:r>
        <w:rPr>
          <w:rFonts w:ascii="微软雅黑" w:hAnsi="微软雅黑" w:eastAsia="微软雅黑" w:cs="微软雅黑"/>
          <w:sz w:val="20"/>
          <w:szCs w:val="20"/>
        </w:rPr>
        <w:t>02</w:t>
      </w:r>
      <w:r>
        <w:rPr>
          <w:rFonts w:hint="eastAsia" w:ascii="微软雅黑" w:hAnsi="微软雅黑" w:eastAsia="微软雅黑" w:cs="微软雅黑"/>
          <w:sz w:val="20"/>
          <w:szCs w:val="20"/>
        </w:rPr>
        <w:t>2未来合伙人】，登陆后选择心仪岗位进行简历投递</w:t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地址：</w:t>
      </w:r>
      <w:r>
        <w:fldChar w:fldCharType="begin"/>
      </w:r>
      <w:r>
        <w:instrText xml:space="preserve"> HYPERLINK "http://vta.maker.haier.net/client/campusmobile/activity/id/15.html" </w:instrText>
      </w:r>
      <w:r>
        <w:fldChar w:fldCharType="separate"/>
      </w:r>
      <w:r>
        <w:rPr>
          <w:rStyle w:val="10"/>
          <w:rFonts w:ascii="微软雅黑" w:hAnsi="微软雅黑" w:eastAsia="微软雅黑" w:cs="微软雅黑"/>
          <w:sz w:val="20"/>
          <w:szCs w:val="20"/>
        </w:rPr>
        <w:t>http://vta.maker.haier.net/client/campusmobile/activity/id/15.html</w:t>
      </w:r>
      <w:r>
        <w:rPr>
          <w:rStyle w:val="10"/>
          <w:rFonts w:ascii="微软雅黑" w:hAnsi="微软雅黑" w:eastAsia="微软雅黑" w:cs="微软雅黑"/>
          <w:sz w:val="20"/>
          <w:szCs w:val="20"/>
        </w:rPr>
        <w:fldChar w:fldCharType="end"/>
      </w: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sz w:val="20"/>
          <w:szCs w:val="20"/>
        </w:rPr>
      </w:pPr>
    </w:p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13131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313131"/>
          <w:sz w:val="20"/>
          <w:szCs w:val="20"/>
        </w:rPr>
        <w:t>后续动态欢迎关注【海尔招聘】公众号，随时查看应聘动态，投递中有任何问题可以公众号留言，在线咨询答疑！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D18F7"/>
    <w:rsid w:val="001946E1"/>
    <w:rsid w:val="001A084F"/>
    <w:rsid w:val="003A6B60"/>
    <w:rsid w:val="003D78F5"/>
    <w:rsid w:val="003E71E5"/>
    <w:rsid w:val="004045AE"/>
    <w:rsid w:val="004A591E"/>
    <w:rsid w:val="004B42A3"/>
    <w:rsid w:val="005068D1"/>
    <w:rsid w:val="0051537E"/>
    <w:rsid w:val="00544ACF"/>
    <w:rsid w:val="0055117A"/>
    <w:rsid w:val="005D5E2F"/>
    <w:rsid w:val="005D6FD0"/>
    <w:rsid w:val="00611FD6"/>
    <w:rsid w:val="00623003"/>
    <w:rsid w:val="00686E7C"/>
    <w:rsid w:val="007662B3"/>
    <w:rsid w:val="007B7EF3"/>
    <w:rsid w:val="007D54F8"/>
    <w:rsid w:val="007E351B"/>
    <w:rsid w:val="008215E7"/>
    <w:rsid w:val="0084514F"/>
    <w:rsid w:val="00874276"/>
    <w:rsid w:val="008E6639"/>
    <w:rsid w:val="00A742DD"/>
    <w:rsid w:val="00A86639"/>
    <w:rsid w:val="00B01F13"/>
    <w:rsid w:val="00B51F21"/>
    <w:rsid w:val="00B67F87"/>
    <w:rsid w:val="00C35B92"/>
    <w:rsid w:val="00D11B71"/>
    <w:rsid w:val="00E4446D"/>
    <w:rsid w:val="00E5586D"/>
    <w:rsid w:val="00EE72EF"/>
    <w:rsid w:val="00F1031E"/>
    <w:rsid w:val="00F11D1F"/>
    <w:rsid w:val="00FD2146"/>
    <w:rsid w:val="089E0B8B"/>
    <w:rsid w:val="23F459BD"/>
    <w:rsid w:val="34DE4AFF"/>
    <w:rsid w:val="3EFD18F7"/>
    <w:rsid w:val="67E5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8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B7DAB-0CD2-4BC3-92F0-D944940CAA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345</Words>
  <Characters>1967</Characters>
  <Lines>16</Lines>
  <Paragraphs>4</Paragraphs>
  <TotalTime>268</TotalTime>
  <ScaleCrop>false</ScaleCrop>
  <LinksUpToDate>false</LinksUpToDate>
  <CharactersWithSpaces>2308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2020-08-13T04:14:00Z</dcterms:created>
  <dc:creator>一輪_</dc:creator>
  <cp:lastModifiedBy>qzuser</cp:lastModifiedBy>
  <dcterms:modified xsi:type="dcterms:W3CDTF">2022-02-25T09:50:35Z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A48EC268A5714B0196C1395274AA10F3</vt:lpwstr>
  </property>
</Properties>
</file>